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Mensagem nº 72/2026</w:t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Processo nº 29886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Proponente: Poder Executivo Municipal</w:t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Regime de tramitação: </w:t>
      </w: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Urgência Urgentíssima</w:t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Data de Conclusão à Procuradoria: </w:t>
      </w: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1/10/2026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RELATÓRIO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ab/>
        <w:t xml:space="preserve">Trata-se de mensagem de origem do Poder Executivo Municipal, cujo mérito solicita aprovação do Colendo Plenário para Projeto de Lei que “</w:t>
      </w:r>
      <w:r w:rsidDel="00000000" w:rsidR="00000000" w:rsidRPr="00000000">
        <w:rPr>
          <w:rFonts w:ascii="Arial" w:cs="Arial" w:eastAsia="Arial" w:hAnsi="Arial"/>
          <w:i w:val="1"/>
          <w:iCs w:val="1"/>
          <w:sz w:val="28"/>
          <w:szCs w:val="28"/>
          <w:rtl w:val="0"/>
        </w:rPr>
        <w:t xml:space="preserve">Altera a Lei nº 4.582, de 30 de julho de 2026, que institui o Programa de Recuperação Fiscal do ISSQN no Município de Sapucaia do Sul - REFIS MUNICIPAL ISSQN 2026, para prorrogar o prazo de adesão ao Programa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”.</w:t>
      </w:r>
    </w:p>
    <w:p w:rsidR="00000000" w:rsidDel="00000000" w:rsidP="00000000" w:rsidRDefault="00000000" w:rsidRPr="00000000" w14:paraId="0000000B">
      <w:pPr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72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A proposição foi protocolada com pedido de tramitação sob regime de urgência urgentíssima, fundamentado no art. 57, § 1º, da Lei Orgânica do Município. Consta dos autos eletrônicos o documento ID 107747 (pdf, 3 páginas).</w:t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PARECER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ind w:firstLine="72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A matéria versa sobre matéria tributária local e gestão da arrecadação municipal, inserindo-se na competência privativa do Município para dispor sobre assuntos de interesse local e organizar seus serviços fiscais (art. 30, incisos I e III, da Constituição Federal).</w:t>
      </w:r>
    </w:p>
    <w:p w:rsidR="00000000" w:rsidDel="00000000" w:rsidP="00000000" w:rsidRDefault="00000000" w:rsidRPr="00000000" w14:paraId="00000012">
      <w:pPr>
        <w:spacing w:line="276" w:lineRule="auto"/>
        <w:ind w:firstLine="72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ind w:firstLine="72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A iniciativa do Projeto de Lei do Executivo encontra amparo formal no art. 82, incisos I e XVII, da Lei Orgânica Municipal, sendo de competência do Prefeito a deflagração do processo legislativo que verse sobre administração tributária, concessão de incentivos ou parcelamento de débitos fiscais.  </w:t>
      </w:r>
    </w:p>
    <w:p w:rsidR="00000000" w:rsidDel="00000000" w:rsidP="00000000" w:rsidRDefault="00000000" w:rsidRPr="00000000" w14:paraId="00000014">
      <w:pPr>
        <w:spacing w:line="276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ind w:firstLine="72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Sob a ótica da Lei de Responsabilidade Fiscal (Lei Complementar Federal nº 101/2000, art. 14), a mera dilatação de prazo de adesão a programa de parcelamento ou anistia preexistente não configura concessão de novo benefício tributário nem ampliação de alíquotas ou descontos além dos previamente autorizados. Tratando-se de reabertura ou prorrogação de prazo em programa cujos impactos financeiros já foram previstos quando da aprovação da lei originária, resta prescindida a apresentação de nova estimativa do impacto orçamentário-financeiro.</w:t>
      </w:r>
    </w:p>
    <w:p w:rsidR="00000000" w:rsidDel="00000000" w:rsidP="00000000" w:rsidRDefault="00000000" w:rsidRPr="00000000" w14:paraId="00000016">
      <w:pPr>
        <w:spacing w:line="276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ind w:firstLine="72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No mérito, a prorrogação do benefício busca otimizar a arrecadação de créditos tributários de difícil recuperabilidade, favorecendo o ingresso de receitas ao erário sem criar despesa obrigatória de caráter continuado.</w:t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ab/>
      </w:r>
    </w:p>
    <w:p w:rsidR="00000000" w:rsidDel="00000000" w:rsidP="00000000" w:rsidRDefault="00000000" w:rsidRPr="00000000" w14:paraId="00000019">
      <w:pPr>
        <w:spacing w:line="360" w:lineRule="auto"/>
        <w:ind w:firstLine="72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Adentrando ao trâmite do processo legislativo, verifica-se que a matéria está sujeita a quorum específico para sua eventual aprovação (dois terços):</w:t>
      </w:r>
    </w:p>
    <w:p w:rsidR="00000000" w:rsidDel="00000000" w:rsidP="00000000" w:rsidRDefault="00000000" w:rsidRPr="00000000" w14:paraId="0000001A">
      <w:pPr>
        <w:ind w:left="2160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Art. 52 As discussões e votações das matérias constantes da ordem do dia serão efetuadas com a presença da maioria absoluta dos membros da Câmara Municipal. § 2º Dependerá do voto favorável de dois terços dos membros da Câmara Municipal a aprovação: I - das leis concernentes: d) à concessão de isenção de impostos na forma da lei.</w:t>
      </w:r>
    </w:p>
    <w:p w:rsidR="00000000" w:rsidDel="00000000" w:rsidP="00000000" w:rsidRDefault="00000000" w:rsidRPr="00000000" w14:paraId="0000001B">
      <w:pPr>
        <w:spacing w:before="240" w:line="276" w:lineRule="auto"/>
        <w:ind w:firstLine="70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before="240" w:line="276" w:lineRule="auto"/>
        <w:ind w:firstLine="70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Por derradeiro, registramos que a deliberação pelo plenário da nobre Casa Legislativa deve ser precedida da manifestação das seguintes comissões permanentes:</w:t>
      </w:r>
    </w:p>
    <w:p w:rsidR="00000000" w:rsidDel="00000000" w:rsidP="00000000" w:rsidRDefault="00000000" w:rsidRPr="00000000" w14:paraId="0000001D">
      <w:pPr>
        <w:spacing w:before="240" w:line="276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a)  </w:t>
        <w:tab/>
        <w:t xml:space="preserve">LEGISLAÇÃO E JUSTIÇA, por ser condição de tramitação do processo legislativo para todas as proposições em geral:</w:t>
      </w:r>
    </w:p>
    <w:p w:rsidR="00000000" w:rsidDel="00000000" w:rsidP="00000000" w:rsidRDefault="00000000" w:rsidRPr="00000000" w14:paraId="0000001E">
      <w:pPr>
        <w:spacing w:line="276" w:lineRule="auto"/>
        <w:ind w:left="3540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ind w:left="2100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:rsidR="00000000" w:rsidDel="00000000" w:rsidP="00000000" w:rsidRDefault="00000000" w:rsidRPr="00000000" w14:paraId="00000020">
      <w:pPr>
        <w:spacing w:line="240" w:lineRule="auto"/>
        <w:ind w:left="2100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§ 1º- Salvo expressa disposição em contrário deste Regimento, é obrigatória a audiência da Comissão de Legislação e Justiça em todos os projetos de lei e determinadas matérias que tramitarem pela Câmara.</w:t>
      </w:r>
    </w:p>
    <w:p w:rsidR="00000000" w:rsidDel="00000000" w:rsidP="00000000" w:rsidRDefault="00000000" w:rsidRPr="00000000" w14:paraId="00000021">
      <w:pPr>
        <w:spacing w:before="240" w:line="276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b) FINANÇAS E ORÇAMENTO, por competência específica, eis que a proposição envolve matéria de natureza tributária:</w:t>
      </w:r>
    </w:p>
    <w:p w:rsidR="00000000" w:rsidDel="00000000" w:rsidP="00000000" w:rsidRDefault="00000000" w:rsidRPr="00000000" w14:paraId="00000022">
      <w:pPr>
        <w:spacing w:line="240" w:lineRule="auto"/>
        <w:ind w:left="2100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ind w:left="2100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Art. 77- Compete à Comissão de Finanças e Orçamento opinar obrigatoriamente sobre todas as matérias de caráter financeiro, e especialmente quando for o caso de: (...) IV - proposições referentes a matérias tributárias; abertura de créditos; empréstimos públicos e as que, direta ou indiretamente, alterem a despesa ou a receita do Município, acarretem responsabilidades ao Erário Municipal ou interessem ao crédito e ao Patrimônio Público Municipal;</w:t>
      </w:r>
    </w:p>
    <w:p w:rsidR="00000000" w:rsidDel="00000000" w:rsidP="00000000" w:rsidRDefault="00000000" w:rsidRPr="00000000" w14:paraId="00000024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CONSIDERAÇÕES FINAIS</w:t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ind w:firstLine="72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Em conformidade com os fundamentos normativos apresentados acima, encaminhamos o expediente ao prosseguimento opinando pela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viabilidade de tramitação.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Destacamos, como de costume, que o presente parecer tem natureza opinativa e não vincula a decisão das comissões. À conclusão superior, e com aprovação, encaminhem-se os autos à DIRETORIA LEGISLATIVA para as devidas diligências.</w:t>
      </w:r>
    </w:p>
    <w:p w:rsidR="00000000" w:rsidDel="00000000" w:rsidP="00000000" w:rsidRDefault="00000000" w:rsidRPr="00000000" w14:paraId="00000028">
      <w:pPr>
        <w:spacing w:line="360" w:lineRule="auto"/>
        <w:ind w:firstLine="72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ind w:firstLine="708"/>
        <w:jc w:val="right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Parecer exarado em 1 de outubro de 2026</w:t>
      </w:r>
    </w:p>
    <w:p w:rsidR="00000000" w:rsidDel="00000000" w:rsidP="00000000" w:rsidRDefault="00000000" w:rsidRPr="00000000" w14:paraId="0000002A">
      <w:pPr>
        <w:jc w:val="right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right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Pablo José Camboim de Souza</w:t>
      </w:r>
    </w:p>
    <w:p w:rsidR="00000000" w:rsidDel="00000000" w:rsidP="00000000" w:rsidRDefault="00000000" w:rsidRPr="00000000" w14:paraId="0000002C">
      <w:pPr>
        <w:jc w:val="right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OAB/RS 50.493</w:t>
      </w:r>
    </w:p>
    <w:p w:rsidR="00000000" w:rsidDel="00000000" w:rsidP="00000000" w:rsidRDefault="00000000" w:rsidRPr="00000000" w14:paraId="0000002D">
      <w:pPr>
        <w:jc w:val="right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Matrícula 881</w:t>
      </w:r>
    </w:p>
    <w:p w:rsidR="00000000" w:rsidDel="00000000" w:rsidP="00000000" w:rsidRDefault="00000000" w:rsidRPr="00000000" w14:paraId="0000002E">
      <w:pPr>
        <w:jc w:val="right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right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João Roberto da Fonseca Junior</w:t>
      </w:r>
    </w:p>
    <w:p w:rsidR="00000000" w:rsidDel="00000000" w:rsidP="00000000" w:rsidRDefault="00000000" w:rsidRPr="00000000" w14:paraId="00000030">
      <w:pPr>
        <w:jc w:val="right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Procurador Chefe</w:t>
      </w:r>
    </w:p>
    <w:p w:rsidR="00000000" w:rsidDel="00000000" w:rsidP="00000000" w:rsidRDefault="00000000" w:rsidRPr="00000000" w14:paraId="00000031">
      <w:pPr>
        <w:jc w:val="right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OAB/RS 69.257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135" w:top="1985" w:left="1701" w:right="113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pStyle w:val="Heading1"/>
      <w:pageBreakBefore w:val="0"/>
      <w:ind w:left="708" w:firstLine="0"/>
      <w:jc w:val="center"/>
      <w:rPr/>
    </w:pPr>
    <w:r w:rsidDel="00000000" w:rsidR="00000000" w:rsidRPr="00000000">
      <w:rPr>
        <w:rFonts w:ascii="Arial" w:cs="Arial" w:eastAsia="Arial" w:hAnsi="Arial"/>
        <w:b w:val="1"/>
        <w:bCs w:val="1"/>
        <w:color w:val="333333"/>
        <w:sz w:val="28"/>
        <w:szCs w:val="28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b="0" l="0" r="0" t="0"/>
          <wp:wrapSquare wrapText="bothSides" distB="0" distT="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Arial" w:cs="Arial" w:eastAsia="Arial" w:hAnsi="Arial"/>
        <w:b w:val="1"/>
        <w:bCs w:val="1"/>
        <w:color w:val="333333"/>
        <w:sz w:val="28"/>
        <w:szCs w:val="28"/>
        <w:rtl w:val="0"/>
      </w:rPr>
      <w:t xml:space="preserve">CÂMARA DE VEREADORES DE SAPUCAIA DO SUL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pageBreakBefore w:val="0"/>
      <w:ind w:left="708" w:firstLine="0"/>
      <w:jc w:val="center"/>
      <w:rPr>
        <w:rFonts w:ascii="Arial" w:cs="Arial" w:eastAsia="Arial" w:hAnsi="Arial"/>
        <w:color w:val="333333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333333"/>
        <w:sz w:val="20"/>
        <w:szCs w:val="20"/>
        <w:rtl w:val="0"/>
      </w:rPr>
      <w:t xml:space="preserve">Av. Assis Brasil, nº51, Centro, CEP 93.220-050 - Sapucaia do Sul - Rio Grande do Sul</w:t>
    </w:r>
  </w:p>
  <w:p w:rsidR="00000000" w:rsidDel="00000000" w:rsidP="00000000" w:rsidRDefault="00000000" w:rsidRPr="00000000" w14:paraId="00000034">
    <w:pPr>
      <w:pageBreakBefore w:val="0"/>
      <w:ind w:left="708" w:firstLine="0"/>
      <w:jc w:val="center"/>
      <w:rPr>
        <w:rFonts w:ascii="Arial" w:cs="Arial" w:eastAsia="Arial" w:hAnsi="Arial"/>
        <w:color w:val="333333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333333"/>
        <w:sz w:val="20"/>
        <w:szCs w:val="20"/>
        <w:rtl w:val="0"/>
      </w:rPr>
      <w:t xml:space="preserve">Fones (51) 3474-1887 / 3474-1226 - Fax: 3474-1081</w:t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-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