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PLL 033/2026</w:t>
      </w:r>
    </w:p>
    <w:p w:rsidR="00000000" w:rsidDel="00000000" w:rsidP="00000000" w:rsidRDefault="00000000" w:rsidRPr="00000000" w14:paraId="00000002">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Nº do Processo: 29935</w:t>
      </w:r>
    </w:p>
    <w:p w:rsidR="00000000" w:rsidDel="00000000" w:rsidP="00000000" w:rsidRDefault="00000000" w:rsidRPr="00000000" w14:paraId="00000003">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Requerente: Ver.ª Djoidy Felipin</w:t>
      </w:r>
    </w:p>
    <w:p w:rsidR="00000000" w:rsidDel="00000000" w:rsidP="00000000" w:rsidRDefault="00000000" w:rsidRPr="00000000" w14:paraId="00000004">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Tipo de Proposição: Projeto de Lei do Legislativo (PLL)</w:t>
      </w:r>
    </w:p>
    <w:p w:rsidR="00000000" w:rsidDel="00000000" w:rsidP="00000000" w:rsidRDefault="00000000" w:rsidRPr="00000000" w14:paraId="00000005">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Data de Conclusão à Procuradoria: 15/10/2026</w:t>
      </w:r>
    </w:p>
    <w:p w:rsidR="00000000" w:rsidDel="00000000" w:rsidP="00000000" w:rsidRDefault="00000000" w:rsidRPr="00000000" w14:paraId="0000000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7">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RELATÓRIO</w:t>
      </w:r>
      <w:r w:rsidDel="00000000" w:rsidR="00000000" w:rsidRPr="00000000">
        <w:rPr>
          <w:rtl w:val="0"/>
        </w:rPr>
      </w:r>
    </w:p>
    <w:p w:rsidR="00000000" w:rsidDel="00000000" w:rsidP="00000000" w:rsidRDefault="00000000" w:rsidRPr="00000000" w14:paraId="00000008">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9">
      <w:pPr>
        <w:jc w:val="both"/>
        <w:rPr>
          <w:rFonts w:ascii="Arial" w:cs="Arial" w:eastAsia="Arial" w:hAnsi="Arial"/>
          <w:sz w:val="28"/>
          <w:szCs w:val="28"/>
        </w:rPr>
      </w:pPr>
      <w:r w:rsidDel="00000000" w:rsidR="00000000" w:rsidRPr="00000000">
        <w:rPr>
          <w:rFonts w:ascii="Arial" w:cs="Arial" w:eastAsia="Arial" w:hAnsi="Arial"/>
          <w:sz w:val="28"/>
          <w:szCs w:val="28"/>
          <w:rtl w:val="0"/>
        </w:rPr>
        <w:tab/>
        <w:t xml:space="preserve">Versa o expediente sobre proposição subscrita por Edil com assento nesta nobre Casa Legislativa, que solicita aprovação do Colendo Plenário para Projeto de Lei que “</w:t>
      </w:r>
      <w:r w:rsidDel="00000000" w:rsidR="00000000" w:rsidRPr="00000000">
        <w:rPr>
          <w:rFonts w:ascii="Arial" w:cs="Arial" w:eastAsia="Arial" w:hAnsi="Arial"/>
          <w:i w:val="1"/>
          <w:iCs w:val="1"/>
          <w:sz w:val="28"/>
          <w:szCs w:val="28"/>
          <w:rtl w:val="0"/>
        </w:rPr>
        <w:t xml:space="preserve">INSTITUI A SEMANA DO MOTOCICLISMO NO MUNICÍPIO DE SAPUCAIA DO SUL</w:t>
      </w:r>
      <w:r w:rsidDel="00000000" w:rsidR="00000000" w:rsidRPr="00000000">
        <w:rPr>
          <w:rFonts w:ascii="Arial" w:cs="Arial" w:eastAsia="Arial" w:hAnsi="Arial"/>
          <w:sz w:val="28"/>
          <w:szCs w:val="28"/>
          <w:rtl w:val="0"/>
        </w:rPr>
        <w:t xml:space="preserve">”. Consta dos autos eletrônicos o documento ID 108357 (página única).</w:t>
      </w:r>
    </w:p>
    <w:p w:rsidR="00000000" w:rsidDel="00000000" w:rsidP="00000000" w:rsidRDefault="00000000" w:rsidRPr="00000000" w14:paraId="0000000A">
      <w:pPr>
        <w:spacing w:line="36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B">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PARECER</w:t>
      </w:r>
      <w:r w:rsidDel="00000000" w:rsidR="00000000" w:rsidRPr="00000000">
        <w:rPr>
          <w:rtl w:val="0"/>
        </w:rPr>
      </w:r>
    </w:p>
    <w:p w:rsidR="00000000" w:rsidDel="00000000" w:rsidP="00000000" w:rsidRDefault="00000000" w:rsidRPr="00000000" w14:paraId="0000000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D">
      <w:pPr>
        <w:spacing w:line="276"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tab/>
        <w:t xml:space="preserve">A fixação de datas comemorativas e eventos públicos em âmbito municipal está inserida no contexto da autonomia política de que os Municípios dispõem para legislar sobre assuntos de interesse local, e de suplementar a legislação federal e estadual no que couber (art. 30, I e II da CF88). Na Lei Orgânica Municipal:</w:t>
      </w:r>
    </w:p>
    <w:p w:rsidR="00000000" w:rsidDel="00000000" w:rsidP="00000000" w:rsidRDefault="00000000" w:rsidRPr="00000000" w14:paraId="0000000E">
      <w:pPr>
        <w:spacing w:line="276"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0F">
      <w:pPr>
        <w:spacing w:line="240" w:lineRule="auto"/>
        <w:ind w:left="2100" w:firstLine="0"/>
        <w:jc w:val="both"/>
        <w:rPr>
          <w:rFonts w:ascii="Arial" w:cs="Arial" w:eastAsia="Arial" w:hAnsi="Arial"/>
          <w:i w:val="1"/>
          <w:iCs w:val="1"/>
          <w:sz w:val="28"/>
          <w:szCs w:val="28"/>
        </w:rPr>
      </w:pPr>
      <w:r w:rsidDel="00000000" w:rsidR="00000000" w:rsidRPr="00000000">
        <w:rPr>
          <w:rFonts w:ascii="Arial" w:cs="Arial" w:eastAsia="Arial" w:hAnsi="Arial"/>
          <w:i w:val="1"/>
          <w:iCs w:val="1"/>
          <w:sz w:val="28"/>
          <w:szCs w:val="28"/>
          <w:rtl w:val="0"/>
        </w:rPr>
        <w:t xml:space="preserve">Art. 7º Ao Município compete prover tudo quanto diga respeito ao seu peculiar interesse e ao bem-estar de sua população, cabendo-lhe, privativamente, dentre outras, as seguintes atribuições: I - legislar sobre assuntos </w:t>
      </w:r>
      <w:r w:rsidDel="00000000" w:rsidR="00000000" w:rsidRPr="00000000">
        <w:rPr>
          <w:rFonts w:ascii="Arial" w:cs="Arial" w:eastAsia="Arial" w:hAnsi="Arial"/>
          <w:b w:val="1"/>
          <w:bCs w:val="1"/>
          <w:i w:val="1"/>
          <w:iCs w:val="1"/>
          <w:sz w:val="28"/>
          <w:szCs w:val="28"/>
          <w:rtl w:val="0"/>
        </w:rPr>
        <w:t xml:space="preserve">de interesse local</w:t>
      </w:r>
      <w:r w:rsidDel="00000000" w:rsidR="00000000" w:rsidRPr="00000000">
        <w:rPr>
          <w:rFonts w:ascii="Arial" w:cs="Arial" w:eastAsia="Arial" w:hAnsi="Arial"/>
          <w:i w:val="1"/>
          <w:iCs w:val="1"/>
          <w:sz w:val="28"/>
          <w:szCs w:val="28"/>
          <w:rtl w:val="0"/>
        </w:rPr>
        <w:t xml:space="preserve">;</w:t>
      </w:r>
    </w:p>
    <w:p w:rsidR="00000000" w:rsidDel="00000000" w:rsidP="00000000" w:rsidRDefault="00000000" w:rsidRPr="00000000" w14:paraId="00000010">
      <w:pPr>
        <w:spacing w:line="240" w:lineRule="auto"/>
        <w:jc w:val="both"/>
        <w:rPr>
          <w:rFonts w:ascii="Arial" w:cs="Arial" w:eastAsia="Arial" w:hAnsi="Arial"/>
          <w:sz w:val="28"/>
          <w:szCs w:val="28"/>
        </w:rPr>
      </w:pPr>
      <w:r w:rsidDel="00000000" w:rsidR="00000000" w:rsidRPr="00000000">
        <w:rPr>
          <w:rFonts w:ascii="Arial" w:cs="Arial" w:eastAsia="Arial" w:hAnsi="Arial"/>
          <w:i w:val="1"/>
          <w:iCs w:val="1"/>
          <w:sz w:val="28"/>
          <w:szCs w:val="28"/>
          <w:rtl w:val="0"/>
        </w:rPr>
        <w:t xml:space="preserve"> </w:t>
      </w: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1">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2">
      <w:pPr>
        <w:spacing w:line="360"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 respeito do poder de iniciativa parlamentar, os artigos 60, inciso II, alínea “d”, 82, incisos III e VII, ambos da Constituição Estadual, combinados com os artigos 61, §1º, II, “b”, e 84, III, da Constituição Federal, impossibilitam que o Poder Legislativo instaure processo estabelecendo ou modificando estruturas, atribuições ou funcionamento da administração pública municipal. Ou seja, são hipóteses de iniciativa reservada ao Poder Executivo. No âmbito municipal, as hipóteses de competência privativa do Prefeito são assim definidas pela Lei Orgânica:</w:t>
      </w:r>
    </w:p>
    <w:p w:rsidR="00000000" w:rsidDel="00000000" w:rsidP="00000000" w:rsidRDefault="00000000" w:rsidRPr="00000000" w14:paraId="00000013">
      <w:pPr>
        <w:spacing w:after="160" w:line="240" w:lineRule="auto"/>
        <w:ind w:left="210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Art. 55 Compete, privativamente ao Prefeito, a iniciativa de projetos de lei que disponham sobre:</w:t>
      </w:r>
    </w:p>
    <w:p w:rsidR="00000000" w:rsidDel="00000000" w:rsidP="00000000" w:rsidRDefault="00000000" w:rsidRPr="00000000" w14:paraId="00000014">
      <w:pPr>
        <w:spacing w:after="160" w:line="240" w:lineRule="auto"/>
        <w:ind w:left="210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I - criação de cargos, funções ou empregos públicos na administração direta e indireta do Poder Executivo, ou aumento de sua remuneração;</w:t>
      </w:r>
    </w:p>
    <w:p w:rsidR="00000000" w:rsidDel="00000000" w:rsidP="00000000" w:rsidRDefault="00000000" w:rsidRPr="00000000" w14:paraId="00000015">
      <w:pPr>
        <w:spacing w:after="160" w:line="240" w:lineRule="auto"/>
        <w:ind w:left="210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II - servidores públicos do Poder Executivo, seu regime jurídico e provimento de cargos;</w:t>
      </w:r>
    </w:p>
    <w:p w:rsidR="00000000" w:rsidDel="00000000" w:rsidP="00000000" w:rsidRDefault="00000000" w:rsidRPr="00000000" w14:paraId="00000016">
      <w:pPr>
        <w:spacing w:after="160" w:line="240" w:lineRule="auto"/>
        <w:ind w:left="210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III - criação, estruturação e atribuições das Secretarias Municipais e órgãos da Administração Pública Municipal;</w:t>
      </w:r>
    </w:p>
    <w:p w:rsidR="00000000" w:rsidDel="00000000" w:rsidP="00000000" w:rsidRDefault="00000000" w:rsidRPr="00000000" w14:paraId="00000017">
      <w:pPr>
        <w:spacing w:after="160" w:line="240" w:lineRule="auto"/>
        <w:ind w:left="210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IV - proposições que geram despesas ou que comprometam receitas do Município.</w:t>
      </w:r>
    </w:p>
    <w:p w:rsidR="00000000" w:rsidDel="00000000" w:rsidP="00000000" w:rsidRDefault="00000000" w:rsidRPr="00000000" w14:paraId="00000018">
      <w:pPr>
        <w:spacing w:after="160" w:line="360" w:lineRule="auto"/>
        <w:ind w:left="354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9">
      <w:pPr>
        <w:spacing w:line="360"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Ao que se apresenta, nenhuma das matérias sujeitas à iniciativa legislativa reservada ao chefe do Poder Executivo (aplicáveis ao município pelo princípio da simetria) é objeto da proposição, nem o projeto visa criar, extinguir ou modificar órgão administrativo, ou mesmo conferir nova atribuição a órgão da administração pública, a exigir iniciativa legislativa do Prefeito Municipal. A jurisprudência do STF, por ocasião do Tema 917, fixou a seguinte tese: </w:t>
      </w:r>
    </w:p>
    <w:p w:rsidR="00000000" w:rsidDel="00000000" w:rsidP="00000000" w:rsidRDefault="00000000" w:rsidRPr="00000000" w14:paraId="0000001A">
      <w:pPr>
        <w:spacing w:line="240" w:lineRule="auto"/>
        <w:ind w:left="216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Recurso extraordinário com agravo. Repercussão geral. 2. Ação Direta de Inconstitucionalidade estadual. Lei 5.616/2013, do Município do Rio de Janeiro. Instalação de câmeras de monitoramento em escolas e cercanias. 3. Inconstitucionalidade formal. Vício de iniciativa. Competência privativa do Poder Executivo municipal. Não ocorrência. </w:t>
      </w:r>
      <w:r w:rsidDel="00000000" w:rsidR="00000000" w:rsidRPr="00000000">
        <w:rPr>
          <w:rFonts w:ascii="Arial" w:cs="Arial" w:eastAsia="Arial" w:hAnsi="Arial"/>
          <w:b w:val="1"/>
          <w:bCs w:val="1"/>
          <w:sz w:val="28"/>
          <w:szCs w:val="28"/>
          <w:rtl w:val="0"/>
        </w:rPr>
        <w:t xml:space="preserve">Não usurpa a competência privativa do chefe do Poder Executivo lei que, embora crie despesa para a Administração Pública, não trata da sua estrutura ou da atribuição de seus órgãos nem do regime jurídico de servidores públicos.</w:t>
      </w:r>
      <w:r w:rsidDel="00000000" w:rsidR="00000000" w:rsidRPr="00000000">
        <w:rPr>
          <w:rFonts w:ascii="Arial" w:cs="Arial" w:eastAsia="Arial" w:hAnsi="Arial"/>
          <w:sz w:val="28"/>
          <w:szCs w:val="28"/>
          <w:rtl w:val="0"/>
        </w:rPr>
        <w:t xml:space="preserve"> 4. Repercussão geral reconhecida com reafirmação da jurisprudência desta Corte. 5. Recurso extraordinário provido. (STF - ARE: 878911 RJ, Relator: GILMAR MENDES, Data de Julgamento: 29/09/2016, Tribunal Pleno, Data de Publicação: 11/10/2016)</w:t>
      </w:r>
    </w:p>
    <w:p w:rsidR="00000000" w:rsidDel="00000000" w:rsidP="00000000" w:rsidRDefault="00000000" w:rsidRPr="00000000" w14:paraId="0000001B">
      <w:pPr>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C">
      <w:pPr>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D">
      <w:pPr>
        <w:spacing w:line="276"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Deste modo, como as disposições do projeto tratam de instituir conteúdo meramente programático, tratando de parâmetros para eventuais eventos sem natureza obrigatória para a administração, conclui-se que o conteúdo da norma não invade a reserva de iniciativa do Chefe do Poder Executivo, nem cria obrigações diretas aos órgãos municipais. </w:t>
      </w:r>
    </w:p>
    <w:p w:rsidR="00000000" w:rsidDel="00000000" w:rsidP="00000000" w:rsidRDefault="00000000" w:rsidRPr="00000000" w14:paraId="0000001E">
      <w:pPr>
        <w:spacing w:line="276" w:lineRule="auto"/>
        <w:ind w:firstLine="72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F">
      <w:pPr>
        <w:spacing w:line="276"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 mera autorização ou a instituição de uma semana comemorativa funciona como um marco de reconhecimento oficial ou um convite à sociedade civil organizada e aos motoclubes para celebração, sem o condão de comandar a máquina pública, portanto, está ao abrigo do Tema 917 da Repercussão Geral do Supremo Tribunal Federal, pois a inconstitucionalidade formal por invasão de competência administrativa só se configura quando há imposição de comandos operativos, criação de estruturas, estipulação de atribuições cogentes ou fixação de rotinas obrigatórias para os órgãos executivos.</w:t>
      </w:r>
    </w:p>
    <w:p w:rsidR="00000000" w:rsidDel="00000000" w:rsidP="00000000" w:rsidRDefault="00000000" w:rsidRPr="00000000" w14:paraId="00000020">
      <w:pPr>
        <w:spacing w:line="276"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1">
      <w:pPr>
        <w:spacing w:line="276"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Adentrando ao trâmite do processo legislativo, verificamos que a matéria em deliberação não figura entre as que a Lei Orgânica do Município exige </w:t>
      </w:r>
      <w:r w:rsidDel="00000000" w:rsidR="00000000" w:rsidRPr="00000000">
        <w:rPr>
          <w:rFonts w:ascii="Arial" w:cs="Arial" w:eastAsia="Arial" w:hAnsi="Arial"/>
          <w:i w:val="1"/>
          <w:iCs w:val="1"/>
          <w:sz w:val="28"/>
          <w:szCs w:val="28"/>
          <w:rtl w:val="0"/>
        </w:rPr>
        <w:t xml:space="preserve">quorum</w:t>
      </w:r>
      <w:r w:rsidDel="00000000" w:rsidR="00000000" w:rsidRPr="00000000">
        <w:rPr>
          <w:rFonts w:ascii="Arial" w:cs="Arial" w:eastAsia="Arial" w:hAnsi="Arial"/>
          <w:sz w:val="28"/>
          <w:szCs w:val="28"/>
          <w:rtl w:val="0"/>
        </w:rPr>
        <w:t xml:space="preserve"> especial para eventual aprovação, enquadrando-se, portanto na hipótese de maioria simples:</w:t>
      </w:r>
    </w:p>
    <w:p w:rsidR="00000000" w:rsidDel="00000000" w:rsidP="00000000" w:rsidRDefault="00000000" w:rsidRPr="00000000" w14:paraId="00000022">
      <w:pPr>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3">
      <w:pPr>
        <w:ind w:left="216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Art. 52 As discussões e votações das matérias constantes da ordem do dia serão efetuadas com a presença da maioria absoluta dos membros da Câmara Municipal.(...) § 4º A aprovação das matérias não constantes dos parágrafos anteriores deste artigo dependerá do voto favorável da maioria simples dos Vereadores, presentes à sessão a sua maioria absoluta.</w:t>
      </w:r>
    </w:p>
    <w:p w:rsidR="00000000" w:rsidDel="00000000" w:rsidP="00000000" w:rsidRDefault="00000000" w:rsidRPr="00000000" w14:paraId="00000024">
      <w:pPr>
        <w:spacing w:before="240" w:line="276" w:lineRule="auto"/>
        <w:ind w:left="0" w:firstLine="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5">
      <w:pPr>
        <w:spacing w:after="240" w:before="240" w:line="276"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Finalmente, registramos que a deliberação pelo plenário da nobre Casa Legislativa deve ser precedida da manifestação da Comissão de LEGISLAÇÃO E JUSTIÇA, por ser condição de tramitação do processo legislativo para todas as proposições em geral:</w:t>
      </w:r>
    </w:p>
    <w:p w:rsidR="00000000" w:rsidDel="00000000" w:rsidP="00000000" w:rsidRDefault="00000000" w:rsidRPr="00000000" w14:paraId="00000026">
      <w:pPr>
        <w:spacing w:after="240" w:before="240" w:line="240" w:lineRule="auto"/>
        <w:ind w:left="2160" w:firstLine="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 1º- Salvo expressa disposição em contrário deste Regimento, é obrigatória a audiência da Comissão de Legislação e Justiça em todos os projetos de lei e determinadas matérias que tramitarem pela Câmara.</w:t>
      </w:r>
    </w:p>
    <w:p w:rsidR="00000000" w:rsidDel="00000000" w:rsidP="00000000" w:rsidRDefault="00000000" w:rsidRPr="00000000" w14:paraId="00000027">
      <w:pPr>
        <w:spacing w:line="36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8">
      <w:pPr>
        <w:spacing w:line="360" w:lineRule="auto"/>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CONSIDERAÇÕES FINAIS</w:t>
      </w:r>
    </w:p>
    <w:p w:rsidR="00000000" w:rsidDel="00000000" w:rsidP="00000000" w:rsidRDefault="00000000" w:rsidRPr="00000000" w14:paraId="00000029">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A">
      <w:pPr>
        <w:spacing w:line="360" w:lineRule="auto"/>
        <w:ind w:firstLine="720"/>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Em conformidade com os fundamentos normativos apresentados acima, encaminhamos o expediente ao prosseguimento opinando pela </w:t>
      </w:r>
      <w:r w:rsidDel="00000000" w:rsidR="00000000" w:rsidRPr="00000000">
        <w:rPr>
          <w:rFonts w:ascii="Arial" w:cs="Arial" w:eastAsia="Arial" w:hAnsi="Arial"/>
          <w:b w:val="1"/>
          <w:bCs w:val="1"/>
          <w:sz w:val="28"/>
          <w:szCs w:val="28"/>
          <w:rtl w:val="0"/>
        </w:rPr>
        <w:t xml:space="preserve">viabilidade de tramitação</w:t>
      </w:r>
      <w:r w:rsidDel="00000000" w:rsidR="00000000" w:rsidRPr="00000000">
        <w:rPr>
          <w:rFonts w:ascii="Arial" w:cs="Arial" w:eastAsia="Arial" w:hAnsi="Arial"/>
          <w:sz w:val="28"/>
          <w:szCs w:val="28"/>
          <w:rtl w:val="0"/>
        </w:rPr>
        <w:t xml:space="preserve">. Destacamos, como de costume, que o presente parecer tem natureza opinativa e não vincula a decisão das comissões. À conclusão superior, e com aprovação, encaminhem-se os autos à DIRETORIA LEGISLATIVA para as devidas diligências.</w:t>
      </w:r>
    </w:p>
    <w:p w:rsidR="00000000" w:rsidDel="00000000" w:rsidP="00000000" w:rsidRDefault="00000000" w:rsidRPr="00000000" w14:paraId="0000002B">
      <w:pPr>
        <w:spacing w:line="360" w:lineRule="auto"/>
        <w:ind w:firstLine="72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C">
      <w:pPr>
        <w:spacing w:line="360" w:lineRule="auto"/>
        <w:ind w:firstLine="708"/>
        <w:jc w:val="right"/>
        <w:rPr>
          <w:rFonts w:ascii="Arial" w:cs="Arial" w:eastAsia="Arial" w:hAnsi="Arial"/>
          <w:sz w:val="28"/>
          <w:szCs w:val="28"/>
        </w:rPr>
      </w:pPr>
      <w:r w:rsidDel="00000000" w:rsidR="00000000" w:rsidRPr="00000000">
        <w:rPr>
          <w:rFonts w:ascii="Arial" w:cs="Arial" w:eastAsia="Arial" w:hAnsi="Arial"/>
          <w:sz w:val="28"/>
          <w:szCs w:val="28"/>
          <w:rtl w:val="0"/>
        </w:rPr>
        <w:t xml:space="preserve">Parecer exarado em 21 de outubro de 2026</w:t>
      </w:r>
    </w:p>
    <w:p w:rsidR="00000000" w:rsidDel="00000000" w:rsidP="00000000" w:rsidRDefault="00000000" w:rsidRPr="00000000" w14:paraId="0000002D">
      <w:pPr>
        <w:jc w:val="right"/>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E">
      <w:pPr>
        <w:jc w:val="right"/>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Pablo José Camboim de Souza</w:t>
      </w:r>
    </w:p>
    <w:p w:rsidR="00000000" w:rsidDel="00000000" w:rsidP="00000000" w:rsidRDefault="00000000" w:rsidRPr="00000000" w14:paraId="0000002F">
      <w:pPr>
        <w:jc w:val="right"/>
        <w:rPr>
          <w:rFonts w:ascii="Arial" w:cs="Arial" w:eastAsia="Arial" w:hAnsi="Arial"/>
          <w:sz w:val="28"/>
          <w:szCs w:val="28"/>
        </w:rPr>
      </w:pPr>
      <w:r w:rsidDel="00000000" w:rsidR="00000000" w:rsidRPr="00000000">
        <w:rPr>
          <w:rFonts w:ascii="Arial" w:cs="Arial" w:eastAsia="Arial" w:hAnsi="Arial"/>
          <w:sz w:val="28"/>
          <w:szCs w:val="28"/>
          <w:rtl w:val="0"/>
        </w:rPr>
        <w:t xml:space="preserve">OAB/RS 50.493</w:t>
      </w:r>
    </w:p>
    <w:p w:rsidR="00000000" w:rsidDel="00000000" w:rsidP="00000000" w:rsidRDefault="00000000" w:rsidRPr="00000000" w14:paraId="00000030">
      <w:pPr>
        <w:jc w:val="right"/>
        <w:rPr>
          <w:rFonts w:ascii="Arial" w:cs="Arial" w:eastAsia="Arial" w:hAnsi="Arial"/>
          <w:sz w:val="28"/>
          <w:szCs w:val="28"/>
        </w:rPr>
      </w:pPr>
      <w:r w:rsidDel="00000000" w:rsidR="00000000" w:rsidRPr="00000000">
        <w:rPr>
          <w:rFonts w:ascii="Arial" w:cs="Arial" w:eastAsia="Arial" w:hAnsi="Arial"/>
          <w:sz w:val="28"/>
          <w:szCs w:val="28"/>
          <w:rtl w:val="0"/>
        </w:rPr>
        <w:t xml:space="preserve">Matrícula 881</w:t>
      </w:r>
    </w:p>
    <w:p w:rsidR="00000000" w:rsidDel="00000000" w:rsidP="00000000" w:rsidRDefault="00000000" w:rsidRPr="00000000" w14:paraId="00000031">
      <w:pPr>
        <w:jc w:val="right"/>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2">
      <w:pPr>
        <w:jc w:val="right"/>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João Roberto da Fonseca Junior</w:t>
      </w:r>
    </w:p>
    <w:p w:rsidR="00000000" w:rsidDel="00000000" w:rsidP="00000000" w:rsidRDefault="00000000" w:rsidRPr="00000000" w14:paraId="00000033">
      <w:pPr>
        <w:jc w:val="right"/>
        <w:rPr>
          <w:rFonts w:ascii="Arial" w:cs="Arial" w:eastAsia="Arial" w:hAnsi="Arial"/>
          <w:sz w:val="28"/>
          <w:szCs w:val="28"/>
        </w:rPr>
      </w:pPr>
      <w:r w:rsidDel="00000000" w:rsidR="00000000" w:rsidRPr="00000000">
        <w:rPr>
          <w:rFonts w:ascii="Arial" w:cs="Arial" w:eastAsia="Arial" w:hAnsi="Arial"/>
          <w:sz w:val="28"/>
          <w:szCs w:val="28"/>
          <w:rtl w:val="0"/>
        </w:rPr>
        <w:t xml:space="preserve">Procurador Chefe</w:t>
      </w:r>
    </w:p>
    <w:p w:rsidR="00000000" w:rsidDel="00000000" w:rsidP="00000000" w:rsidRDefault="00000000" w:rsidRPr="00000000" w14:paraId="00000034">
      <w:pPr>
        <w:jc w:val="right"/>
        <w:rPr>
          <w:rFonts w:ascii="Arial" w:cs="Arial" w:eastAsia="Arial" w:hAnsi="Arial"/>
          <w:b w:val="1"/>
          <w:bCs w:val="1"/>
          <w:sz w:val="28"/>
          <w:szCs w:val="28"/>
        </w:rPr>
      </w:pPr>
      <w:r w:rsidDel="00000000" w:rsidR="00000000" w:rsidRPr="00000000">
        <w:rPr>
          <w:rFonts w:ascii="Arial" w:cs="Arial" w:eastAsia="Arial" w:hAnsi="Arial"/>
          <w:sz w:val="28"/>
          <w:szCs w:val="28"/>
          <w:rtl w:val="0"/>
        </w:rPr>
        <w:t xml:space="preserve">OAB/RS 69.257</w:t>
      </w:r>
      <w:r w:rsidDel="00000000" w:rsidR="00000000" w:rsidRPr="00000000">
        <w:rPr>
          <w:rtl w:val="0"/>
        </w:rPr>
      </w:r>
    </w:p>
    <w:sectPr>
      <w:headerReference r:id="rId6" w:type="default"/>
      <w:pgSz w:h="16838" w:w="11906" w:orient="portrait"/>
      <w:pgMar w:bottom="1135" w:top="1985" w:left="1701"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Style w:val="Heading1"/>
      <w:pageBreakBefore w:val="0"/>
      <w:ind w:left="708" w:firstLine="0"/>
      <w:jc w:val="center"/>
      <w:rPr/>
    </w:pPr>
    <w:r w:rsidDel="00000000" w:rsidR="00000000" w:rsidRPr="00000000">
      <w:rPr>
        <w:rFonts w:ascii="Arial" w:cs="Arial" w:eastAsia="Arial" w:hAnsi="Arial"/>
        <w:b w:val="1"/>
        <w:bCs w:val="1"/>
        <w:color w:val="333333"/>
        <w:sz w:val="28"/>
        <w:szCs w:val="28"/>
      </w:rPr>
      <w:drawing>
        <wp:anchor allowOverlap="1" behindDoc="0" distB="0" distT="0" distL="114300" distR="114300" hidden="0" layoutInCell="1" locked="0" relativeHeight="0" simplePos="0">
          <wp:simplePos x="0" y="0"/>
          <wp:positionH relativeFrom="margin">
            <wp:posOffset>-628649</wp:posOffset>
          </wp:positionH>
          <wp:positionV relativeFrom="margin">
            <wp:posOffset>-1049654</wp:posOffset>
          </wp:positionV>
          <wp:extent cx="748030" cy="82296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8030" cy="822960"/>
                  </a:xfrm>
                  <a:prstGeom prst="rect"/>
                  <a:ln/>
                </pic:spPr>
              </pic:pic>
            </a:graphicData>
          </a:graphic>
        </wp:anchor>
      </w:drawing>
    </w:r>
    <w:r w:rsidDel="00000000" w:rsidR="00000000" w:rsidRPr="00000000">
      <w:rPr>
        <w:rFonts w:ascii="Arial" w:cs="Arial" w:eastAsia="Arial" w:hAnsi="Arial"/>
        <w:b w:val="1"/>
        <w:bCs w:val="1"/>
        <w:color w:val="333333"/>
        <w:sz w:val="28"/>
        <w:szCs w:val="28"/>
        <w:rtl w:val="0"/>
      </w:rPr>
      <w:t xml:space="preserve">CÂMARA DE VEREADORES DE SAPUCAIA DO SUL</w:t>
    </w:r>
    <w:r w:rsidDel="00000000" w:rsidR="00000000" w:rsidRPr="00000000">
      <w:rPr>
        <w:rtl w:val="0"/>
      </w:rPr>
    </w:r>
  </w:p>
  <w:p w:rsidR="00000000" w:rsidDel="00000000" w:rsidP="00000000" w:rsidRDefault="00000000" w:rsidRPr="00000000" w14:paraId="00000036">
    <w:pPr>
      <w:pageBreakBefore w:val="0"/>
      <w:ind w:left="708" w:firstLine="0"/>
      <w:jc w:val="cente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Av. Assis Brasil, nº51, Centro, CEP 93.220-050 - Sapucaia do Sul - Rio Grande do Sul</w:t>
    </w:r>
  </w:p>
  <w:p w:rsidR="00000000" w:rsidDel="00000000" w:rsidP="00000000" w:rsidRDefault="00000000" w:rsidRPr="00000000" w14:paraId="00000037">
    <w:pPr>
      <w:pageBreakBefore w:val="0"/>
      <w:ind w:left="708" w:firstLine="0"/>
      <w:jc w:val="cente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Fones (51) 3474-1887 / 3474-1226 - Fax: 3474-1081</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Pr>
    <w:rPr>
      <w:sz w:val="36"/>
      <w:szCs w:val="3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