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E7F7" w14:textId="1FD6BAAE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Mensagem nº </w:t>
      </w:r>
      <w:r w:rsidR="007C466C" w:rsidRPr="007C466C">
        <w:rPr>
          <w:rFonts w:ascii="Arial" w:eastAsia="Arial" w:hAnsi="Arial" w:cs="Arial"/>
          <w:b/>
        </w:rPr>
        <w:t>046/2021</w:t>
      </w:r>
    </w:p>
    <w:p w14:paraId="6827FB85" w14:textId="3E4BFA87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Processo nº </w:t>
      </w:r>
      <w:r w:rsidR="007C466C" w:rsidRPr="007C466C">
        <w:rPr>
          <w:rFonts w:ascii="Arial" w:eastAsia="Arial" w:hAnsi="Arial" w:cs="Arial"/>
          <w:b/>
        </w:rPr>
        <w:t>22634/2021</w:t>
      </w:r>
    </w:p>
    <w:p w14:paraId="60E902D8" w14:textId="77777777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Proponente:</w:t>
      </w:r>
      <w:r w:rsidRPr="007C466C">
        <w:rPr>
          <w:rFonts w:ascii="Arial" w:eastAsia="Arial" w:hAnsi="Arial" w:cs="Arial"/>
        </w:rPr>
        <w:t xml:space="preserve"> Poder Executivo Municipal</w:t>
      </w:r>
    </w:p>
    <w:p w14:paraId="661EF707" w14:textId="6FF1BEB6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Regime de Tramitação </w:t>
      </w:r>
      <w:r w:rsidR="007C466C">
        <w:rPr>
          <w:rFonts w:ascii="Arial" w:eastAsia="Arial" w:hAnsi="Arial" w:cs="Arial"/>
        </w:rPr>
        <w:t>Urgência</w:t>
      </w:r>
    </w:p>
    <w:p w14:paraId="4CF7AA39" w14:textId="163A7AE3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Data de conclusão à Procuradoria: </w:t>
      </w:r>
      <w:r w:rsidR="007C466C" w:rsidRPr="007C466C">
        <w:rPr>
          <w:rFonts w:ascii="Arial" w:eastAsia="Arial" w:hAnsi="Arial" w:cs="Arial"/>
        </w:rPr>
        <w:t>30/09/2021</w:t>
      </w:r>
      <w:r w:rsidRPr="007C466C">
        <w:rPr>
          <w:rFonts w:ascii="Arial" w:eastAsia="Arial" w:hAnsi="Arial" w:cs="Arial"/>
        </w:rPr>
        <w:tab/>
      </w:r>
    </w:p>
    <w:p w14:paraId="544A2F03" w14:textId="77777777" w:rsidR="002E400D" w:rsidRPr="007C466C" w:rsidRDefault="002E400D">
      <w:pPr>
        <w:rPr>
          <w:rFonts w:ascii="Arial" w:eastAsia="Arial" w:hAnsi="Arial" w:cs="Arial"/>
          <w:b/>
        </w:rPr>
      </w:pPr>
    </w:p>
    <w:p w14:paraId="3CFA6BEB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6E0AEA70" w14:textId="77777777" w:rsidR="002E400D" w:rsidRPr="007C466C" w:rsidRDefault="00E870F5" w:rsidP="007C466C">
      <w:pPr>
        <w:jc w:val="center"/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RELATÓRIO</w:t>
      </w:r>
    </w:p>
    <w:p w14:paraId="33D0C340" w14:textId="77777777" w:rsidR="002E400D" w:rsidRPr="007C466C" w:rsidRDefault="002E400D">
      <w:pPr>
        <w:jc w:val="both"/>
        <w:rPr>
          <w:rFonts w:ascii="Arial" w:eastAsia="Arial" w:hAnsi="Arial" w:cs="Arial"/>
          <w:sz w:val="22"/>
          <w:szCs w:val="22"/>
        </w:rPr>
      </w:pPr>
    </w:p>
    <w:p w14:paraId="1BB3C20A" w14:textId="77777777" w:rsidR="007C466C" w:rsidRDefault="00E870F5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ab/>
        <w:t>Trata-se de mensagem de origem do Poder Executivo Municipal cujo mérito solicita aprovação de projeto de lei que</w:t>
      </w:r>
      <w:r w:rsidR="007C466C" w:rsidRPr="007C466C">
        <w:rPr>
          <w:rFonts w:ascii="Arial" w:eastAsia="Arial" w:hAnsi="Arial" w:cs="Arial"/>
          <w:sz w:val="22"/>
          <w:szCs w:val="22"/>
        </w:rPr>
        <w:t xml:space="preserve"> “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Autoriza abertura de crédito especial de R$ 287.306,00 (duzentos e oitenta e sete mil e trezentos seis reais) criando rubrica no Orçamento de 2021 na Secretaria Municipal de Esporte e Lazer.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0E948AB" w14:textId="77777777" w:rsid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ADF2BC4" w14:textId="087A4177" w:rsidR="002E400D" w:rsidRP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</w:t>
      </w:r>
      <w:r w:rsidR="00E870F5" w:rsidRPr="007C466C">
        <w:rPr>
          <w:rFonts w:ascii="Arial" w:eastAsia="Arial" w:hAnsi="Arial" w:cs="Arial"/>
          <w:sz w:val="22"/>
          <w:szCs w:val="22"/>
        </w:rPr>
        <w:t>O processo tramita exclusivamente em formato digital, constam dos autos eletrônicos os seguintes documentos em anexo.</w:t>
      </w:r>
    </w:p>
    <w:p w14:paraId="36AB8B7B" w14:textId="77777777" w:rsidR="002E400D" w:rsidRPr="007C466C" w:rsidRDefault="002E400D">
      <w:pPr>
        <w:spacing w:line="360" w:lineRule="auto"/>
        <w:ind w:firstLine="708"/>
        <w:jc w:val="both"/>
        <w:rPr>
          <w:rFonts w:ascii="Arial" w:eastAsia="Arial" w:hAnsi="Arial" w:cs="Arial"/>
        </w:rPr>
      </w:pPr>
    </w:p>
    <w:p w14:paraId="6E12BBC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b/>
        </w:rPr>
        <w:t>PARECER</w:t>
      </w:r>
    </w:p>
    <w:p w14:paraId="5FB9E5A7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79AC3253" w14:textId="77777777" w:rsidR="002E400D" w:rsidRP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iniciativa para deflagrar o processo legislativo acerca da matéria “crédito especial” está inserida na esfera de competências privativas do Chefe do Executivo, conforme disposto pela Lei Orgânica Municipal:</w:t>
      </w:r>
    </w:p>
    <w:p w14:paraId="5E138141" w14:textId="77777777" w:rsidR="002E400D" w:rsidRPr="007C466C" w:rsidRDefault="00E870F5">
      <w:pPr>
        <w:spacing w:line="276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D52720E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55. Compete, privativamente ao Prefeito, a iniciativa de projetos de lei que disponham sobre:</w:t>
      </w:r>
    </w:p>
    <w:p w14:paraId="4EEE5BF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94A63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IV – Proposições que geram despesas ou comprometam receitas do Município.</w:t>
      </w:r>
    </w:p>
    <w:p w14:paraId="25D61B61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1E52198" w14:textId="282E31F2" w:rsidR="002E400D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deliberação pela Câmara de Vereadores sobre esse tema é abordada no âmbito da Lei Orgânica Municipal da seguinte maneira:</w:t>
      </w:r>
    </w:p>
    <w:p w14:paraId="0F3EE510" w14:textId="77777777" w:rsidR="007C466C" w:rsidRPr="007C466C" w:rsidRDefault="007C466C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</w:p>
    <w:p w14:paraId="6E46976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36. Compete à Câmara Municipal deliberar, com a sanção do Prefeito, sobre todas as matérias da competência do Município, especialmente sobre:</w:t>
      </w:r>
    </w:p>
    <w:p w14:paraId="252AA2A2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6FADE9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II - </w:t>
      </w:r>
      <w:proofErr w:type="gramStart"/>
      <w:r w:rsidRPr="007C466C">
        <w:rPr>
          <w:rFonts w:ascii="Arial" w:eastAsia="Arial" w:hAnsi="Arial" w:cs="Arial"/>
          <w:i/>
          <w:sz w:val="22"/>
          <w:szCs w:val="22"/>
        </w:rPr>
        <w:t>abertura</w:t>
      </w:r>
      <w:proofErr w:type="gramEnd"/>
      <w:r w:rsidRPr="007C466C">
        <w:rPr>
          <w:rFonts w:ascii="Arial" w:eastAsia="Arial" w:hAnsi="Arial" w:cs="Arial"/>
          <w:i/>
          <w:sz w:val="22"/>
          <w:szCs w:val="22"/>
        </w:rPr>
        <w:t xml:space="preserve"> de créditos especiais, suplementares e extraordinários;</w:t>
      </w:r>
    </w:p>
    <w:p w14:paraId="7DE207B7" w14:textId="77777777" w:rsidR="002E400D" w:rsidRPr="007C466C" w:rsidRDefault="00E870F5">
      <w:pPr>
        <w:spacing w:before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</w:t>
      </w:r>
    </w:p>
    <w:p w14:paraId="634EEBFE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Quanto aos requisitos para a espécie proposta, estes são disciplinados pela Constituição Federal,</w:t>
      </w:r>
      <w:r w:rsidRPr="007C466C">
        <w:rPr>
          <w:rFonts w:ascii="Arial" w:eastAsia="Arial" w:hAnsi="Arial" w:cs="Arial"/>
          <w:i/>
          <w:sz w:val="22"/>
          <w:szCs w:val="22"/>
        </w:rPr>
        <w:t xml:space="preserve"> in </w:t>
      </w:r>
      <w:proofErr w:type="spellStart"/>
      <w:r w:rsidRPr="007C466C">
        <w:rPr>
          <w:rFonts w:ascii="Arial" w:eastAsia="Arial" w:hAnsi="Arial" w:cs="Arial"/>
          <w:i/>
          <w:sz w:val="22"/>
          <w:szCs w:val="22"/>
        </w:rPr>
        <w:t>verbis</w:t>
      </w:r>
      <w:proofErr w:type="spellEnd"/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65C05A7E" w14:textId="77777777" w:rsidR="002E400D" w:rsidRPr="007C466C" w:rsidRDefault="00E870F5">
      <w:pPr>
        <w:spacing w:line="360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F5C9135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167. São vedados:</w:t>
      </w:r>
    </w:p>
    <w:p w14:paraId="3D3B5447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81D0036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7B9DD7FA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b/>
          <w:i/>
          <w:sz w:val="22"/>
          <w:szCs w:val="22"/>
        </w:rPr>
      </w:pPr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V - </w:t>
      </w:r>
      <w:proofErr w:type="gramStart"/>
      <w:r w:rsidRPr="007C466C">
        <w:rPr>
          <w:rFonts w:ascii="Arial" w:eastAsia="Arial" w:hAnsi="Arial" w:cs="Arial"/>
          <w:b/>
          <w:i/>
          <w:sz w:val="22"/>
          <w:szCs w:val="22"/>
        </w:rPr>
        <w:t>a</w:t>
      </w:r>
      <w:proofErr w:type="gramEnd"/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 abertura de crédito suplementar ou especial sem prévia autorização legislativa e sem indicação dos recursos correspondentes;</w:t>
      </w:r>
    </w:p>
    <w:p w14:paraId="71739325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79E0E00F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Ou seja, no que diz respeito à abertura de créditos especiais ou suplementares no bojo do orçamento, para que o Poder executivo o faça, são necessários: (a) autorização legislativa, e (b) indicação dos recursos correspondentes.</w:t>
      </w:r>
    </w:p>
    <w:p w14:paraId="57DA71C4" w14:textId="648F17C3" w:rsid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Ao que se apresenta no teor do projeto em análise, a autorização legislativa é o mérito da proposição, e no que se refere aos recursos financeiros necessários à cobertura das despesas geradas pelo art. 1º do projeto em apreço, estes são indicados por ocasião do art. 2º</w:t>
      </w:r>
      <w:r w:rsidR="007C466C">
        <w:rPr>
          <w:rFonts w:ascii="Arial" w:eastAsia="Arial" w:hAnsi="Arial" w:cs="Arial"/>
          <w:sz w:val="22"/>
          <w:szCs w:val="22"/>
        </w:rPr>
        <w:t>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30095C3" w14:textId="15C566F5" w:rsidR="002E400D" w:rsidRPr="007C466C" w:rsidRDefault="007C466C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 w:rsidR="00E870F5" w:rsidRPr="007C466C">
        <w:rPr>
          <w:rFonts w:ascii="Arial" w:eastAsia="Arial" w:hAnsi="Arial" w:cs="Arial"/>
          <w:sz w:val="22"/>
          <w:szCs w:val="22"/>
        </w:rPr>
        <w:t>Cumpridos, portanto, os requisitos legais da espécie.</w:t>
      </w:r>
    </w:p>
    <w:p w14:paraId="6B7D784C" w14:textId="2C60C093" w:rsidR="002E400D" w:rsidRPr="007C466C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Ressaltamos: </w:t>
      </w:r>
      <w:r w:rsidRPr="007C466C">
        <w:rPr>
          <w:rFonts w:ascii="Arial" w:eastAsia="Arial" w:hAnsi="Arial" w:cs="Arial"/>
          <w:b/>
          <w:i/>
          <w:sz w:val="22"/>
          <w:szCs w:val="22"/>
        </w:rPr>
        <w:t>a presente manifestação leva em conta tão somente os requisitos formais/constitucionais da matéria “crédito especial”</w:t>
      </w:r>
      <w:r w:rsidRPr="007C466C">
        <w:rPr>
          <w:rFonts w:ascii="Arial" w:eastAsia="Arial" w:hAnsi="Arial" w:cs="Arial"/>
          <w:b/>
          <w:sz w:val="22"/>
          <w:szCs w:val="22"/>
        </w:rPr>
        <w:t>,</w:t>
      </w:r>
      <w:r w:rsidRPr="007C466C">
        <w:rPr>
          <w:rFonts w:ascii="Arial" w:eastAsia="Arial" w:hAnsi="Arial" w:cs="Arial"/>
          <w:sz w:val="22"/>
          <w:szCs w:val="22"/>
        </w:rPr>
        <w:t xml:space="preserve"> sejam eles: autorização legislativa e indicação dos recursos correspondentes.</w:t>
      </w:r>
    </w:p>
    <w:p w14:paraId="1CD01A9C" w14:textId="1023B8E5" w:rsidR="002E400D" w:rsidRPr="007C466C" w:rsidRDefault="00E870F5" w:rsidP="007C466C">
      <w:pPr>
        <w:spacing w:before="240"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Finalmente, registramos que a deliberação pelo plenário da nobre Casa Legislativa deve ser precedida da manifestação das seguintes comissões permanentes:</w:t>
      </w:r>
    </w:p>
    <w:p w14:paraId="7E56E7F6" w14:textId="1B2907FA" w:rsidR="002E400D" w:rsidRPr="007C466C" w:rsidRDefault="00E870F5" w:rsidP="007C466C">
      <w:pPr>
        <w:spacing w:before="240"/>
        <w:ind w:firstLine="70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a)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LEGISLAÇÃO E JUSTIÇA, por ser condição de tramitação do processo legislativo </w:t>
      </w:r>
      <w:r w:rsidRPr="007C466C">
        <w:rPr>
          <w:rFonts w:ascii="Arial" w:eastAsia="Arial" w:hAnsi="Arial" w:cs="Arial"/>
          <w:b/>
          <w:sz w:val="22"/>
          <w:szCs w:val="22"/>
        </w:rPr>
        <w:t>para todas as proposições em geral:</w:t>
      </w:r>
    </w:p>
    <w:p w14:paraId="670DB5AF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3FFFB61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5E5B74E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§ 1º- Salvo expressa disposição em contrário deste Regimento, é obrigatória a audiência da Comissão de Legislação e Justiça em </w:t>
      </w:r>
      <w:r w:rsidRPr="007C466C">
        <w:rPr>
          <w:rFonts w:ascii="Arial" w:eastAsia="Arial" w:hAnsi="Arial" w:cs="Arial"/>
          <w:b/>
          <w:sz w:val="22"/>
          <w:szCs w:val="22"/>
        </w:rPr>
        <w:t>todos os projetos de lei e determinadas matérias que tramitarem pela Câmara.</w:t>
      </w:r>
    </w:p>
    <w:p w14:paraId="75A1AD3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</w:t>
      </w:r>
    </w:p>
    <w:p w14:paraId="56801B1C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b)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FINANÇAS E ORÇAMENTO, por competência específica, eis que a proposição envolve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0B9CD71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AF55A7D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77- Compete à Comissão de Finanças e Orçamento opinar obrigatoriamente sobre todas as matérias de caráter financeiro, e especialmente quando for o caso de:</w:t>
      </w:r>
    </w:p>
    <w:p w14:paraId="519D36EA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(...)</w:t>
      </w:r>
    </w:p>
    <w:p w14:paraId="1750901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IV - </w:t>
      </w:r>
      <w:proofErr w:type="gramStart"/>
      <w:r w:rsidRPr="007C466C">
        <w:rPr>
          <w:rFonts w:ascii="Arial" w:eastAsia="Arial" w:hAnsi="Arial" w:cs="Arial"/>
          <w:sz w:val="22"/>
          <w:szCs w:val="22"/>
        </w:rPr>
        <w:t>proposições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referentes a matérias tributárias;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; empréstimos públicos e as que, direta ou indiretamente, alterem a despesa ou a receita do Município, acarretem responsabilidades ao Erário Municipal ou interessem ao crédito e ao Patrimônio Público Municipal;</w:t>
      </w:r>
    </w:p>
    <w:p w14:paraId="08B591F7" w14:textId="77777777" w:rsidR="002E400D" w:rsidRPr="007C466C" w:rsidRDefault="002E400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FA2EBB7" w14:textId="77777777" w:rsidR="007C466C" w:rsidRDefault="007C466C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8AD53A6" w14:textId="7AE6499C" w:rsidR="002E400D" w:rsidRPr="007C466C" w:rsidRDefault="00E870F5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CONSIDERAÇÕES FINAIS</w:t>
      </w:r>
    </w:p>
    <w:p w14:paraId="6C6ED381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5B089CCC" w14:textId="77777777" w:rsid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Em conformidade com os fundamentos normativos apresentados acima, encaminhamos o expediente ao prosseguimento, opinando pela </w:t>
      </w:r>
      <w:r w:rsidRPr="007C466C">
        <w:rPr>
          <w:rFonts w:ascii="Arial" w:eastAsia="Arial" w:hAnsi="Arial" w:cs="Arial"/>
          <w:b/>
          <w:sz w:val="22"/>
          <w:szCs w:val="22"/>
          <w:u w:val="single"/>
        </w:rPr>
        <w:t>viabilidade da tramitação</w:t>
      </w:r>
      <w:r w:rsidRPr="007C466C">
        <w:rPr>
          <w:rFonts w:ascii="Arial" w:eastAsia="Arial" w:hAnsi="Arial" w:cs="Arial"/>
          <w:sz w:val="22"/>
          <w:szCs w:val="22"/>
        </w:rPr>
        <w:t xml:space="preserve">. Assevera-se, outrossim, que o presente parecer tem natureza opinativa e não vincula a decisão das comissões. </w:t>
      </w:r>
    </w:p>
    <w:p w14:paraId="27D293E7" w14:textId="77777777" w:rsid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72B4F1A6" w14:textId="6E3C522A" w:rsidR="002E400D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</w:t>
      </w:r>
      <w:r w:rsidR="00E870F5" w:rsidRPr="007C466C">
        <w:rPr>
          <w:rFonts w:ascii="Arial" w:eastAsia="Arial" w:hAnsi="Arial" w:cs="Arial"/>
          <w:sz w:val="22"/>
          <w:szCs w:val="22"/>
        </w:rPr>
        <w:t>ncaminhem-se os autos à DIRETORIA LEGISLATIVA para as devidas diligências.</w:t>
      </w:r>
    </w:p>
    <w:p w14:paraId="22A75BD3" w14:textId="5839CA09" w:rsidR="002E400D" w:rsidRDefault="002E400D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3C088D2B" w14:textId="77777777" w:rsidR="007C466C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097A847F" w14:textId="78C08C5D" w:rsidR="002E400D" w:rsidRPr="007C466C" w:rsidRDefault="00E870F5" w:rsidP="007C466C">
      <w:pPr>
        <w:spacing w:line="360" w:lineRule="auto"/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Parecer exarado em </w:t>
      </w:r>
      <w:r w:rsidR="007C466C">
        <w:rPr>
          <w:rFonts w:ascii="Arial" w:eastAsia="Arial" w:hAnsi="Arial" w:cs="Arial"/>
          <w:sz w:val="22"/>
          <w:szCs w:val="22"/>
        </w:rPr>
        <w:t>01</w:t>
      </w:r>
      <w:r w:rsidRPr="007C466C">
        <w:rPr>
          <w:rFonts w:ascii="Arial" w:eastAsia="Arial" w:hAnsi="Arial" w:cs="Arial"/>
          <w:sz w:val="22"/>
          <w:szCs w:val="22"/>
        </w:rPr>
        <w:t xml:space="preserve"> de </w:t>
      </w:r>
      <w:proofErr w:type="gramStart"/>
      <w:r w:rsidR="007C466C">
        <w:rPr>
          <w:rFonts w:ascii="Arial" w:eastAsia="Arial" w:hAnsi="Arial" w:cs="Arial"/>
          <w:sz w:val="22"/>
          <w:szCs w:val="22"/>
        </w:rPr>
        <w:t>Outu</w:t>
      </w:r>
      <w:r w:rsidRPr="007C466C">
        <w:rPr>
          <w:rFonts w:ascii="Arial" w:eastAsia="Arial" w:hAnsi="Arial" w:cs="Arial"/>
          <w:sz w:val="22"/>
          <w:szCs w:val="22"/>
        </w:rPr>
        <w:t>bro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de 2021</w:t>
      </w:r>
    </w:p>
    <w:p w14:paraId="3C39C39E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64F57865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38189D5F" w14:textId="77777777" w:rsidR="002E400D" w:rsidRPr="007C466C" w:rsidRDefault="00E870F5" w:rsidP="007C466C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João Roberto da Fonseca Junior</w:t>
      </w:r>
    </w:p>
    <w:p w14:paraId="235A27D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Procurador Chefe</w:t>
      </w:r>
    </w:p>
    <w:p w14:paraId="54B662C1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OAB/RS 69.257</w:t>
      </w:r>
    </w:p>
    <w:sectPr w:rsidR="002E400D" w:rsidRPr="007C466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0E29D" w14:textId="77777777" w:rsidR="00842F51" w:rsidRDefault="00842F51">
      <w:r>
        <w:separator/>
      </w:r>
    </w:p>
  </w:endnote>
  <w:endnote w:type="continuationSeparator" w:id="0">
    <w:p w14:paraId="200C3488" w14:textId="77777777" w:rsidR="00842F51" w:rsidRDefault="0084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1342" w14:textId="77777777" w:rsidR="00842F51" w:rsidRDefault="00842F51">
      <w:r>
        <w:separator/>
      </w:r>
    </w:p>
  </w:footnote>
  <w:footnote w:type="continuationSeparator" w:id="0">
    <w:p w14:paraId="47D59EC4" w14:textId="77777777" w:rsidR="00842F51" w:rsidRDefault="00842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E181" w14:textId="77777777" w:rsidR="002E400D" w:rsidRDefault="00E870F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77F18E8D" wp14:editId="08F6AFDC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1664FB4A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B090F3D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659A6A54" w14:textId="77777777" w:rsidR="002E400D" w:rsidRDefault="002E40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98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0D"/>
    <w:rsid w:val="002E400D"/>
    <w:rsid w:val="00794EB4"/>
    <w:rsid w:val="007C466C"/>
    <w:rsid w:val="00842F51"/>
    <w:rsid w:val="00E8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33D"/>
  <w15:docId w15:val="{904FCFFF-6A09-064E-9775-C41A12C7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660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2021-10-01T14:43:00Z</dcterms:created>
  <dcterms:modified xsi:type="dcterms:W3CDTF">2021-10-01T14:43:00Z</dcterms:modified>
</cp:coreProperties>
</file>