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E7F7" w14:textId="64FA9BCD" w:rsidR="002E400D" w:rsidRPr="007C466C" w:rsidRDefault="00E870F5">
      <w:pPr>
        <w:rPr>
          <w:rFonts w:ascii="Arial" w:eastAsia="Arial" w:hAnsi="Arial" w:cs="Arial"/>
          <w:b/>
        </w:rPr>
      </w:pPr>
      <w:r w:rsidRPr="007C466C">
        <w:rPr>
          <w:rFonts w:ascii="Arial" w:eastAsia="Arial" w:hAnsi="Arial" w:cs="Arial"/>
          <w:b/>
        </w:rPr>
        <w:t xml:space="preserve">Mensagem nº </w:t>
      </w:r>
      <w:r w:rsidR="007C466C" w:rsidRPr="007C466C">
        <w:rPr>
          <w:rFonts w:ascii="Arial" w:eastAsia="Arial" w:hAnsi="Arial" w:cs="Arial"/>
          <w:b/>
        </w:rPr>
        <w:t>04</w:t>
      </w:r>
      <w:r w:rsidR="008511AF">
        <w:rPr>
          <w:rFonts w:ascii="Arial" w:eastAsia="Arial" w:hAnsi="Arial" w:cs="Arial"/>
          <w:b/>
        </w:rPr>
        <w:t>9</w:t>
      </w:r>
      <w:r w:rsidR="007C466C" w:rsidRPr="007C466C">
        <w:rPr>
          <w:rFonts w:ascii="Arial" w:eastAsia="Arial" w:hAnsi="Arial" w:cs="Arial"/>
          <w:b/>
        </w:rPr>
        <w:t>/2021</w:t>
      </w:r>
    </w:p>
    <w:p w14:paraId="6827FB85" w14:textId="25D0418B" w:rsidR="002E400D" w:rsidRPr="007C466C" w:rsidRDefault="00E870F5">
      <w:pPr>
        <w:rPr>
          <w:rFonts w:ascii="Arial" w:eastAsia="Arial" w:hAnsi="Arial" w:cs="Arial"/>
          <w:b/>
        </w:rPr>
      </w:pPr>
      <w:r w:rsidRPr="007C466C">
        <w:rPr>
          <w:rFonts w:ascii="Arial" w:eastAsia="Arial" w:hAnsi="Arial" w:cs="Arial"/>
          <w:b/>
        </w:rPr>
        <w:t xml:space="preserve">Processo nº </w:t>
      </w:r>
      <w:r w:rsidR="00113459">
        <w:rPr>
          <w:rFonts w:ascii="Arial" w:eastAsia="Arial" w:hAnsi="Arial" w:cs="Arial"/>
          <w:b/>
        </w:rPr>
        <w:t>2263</w:t>
      </w:r>
      <w:r w:rsidR="008511AF">
        <w:rPr>
          <w:rFonts w:ascii="Arial" w:eastAsia="Arial" w:hAnsi="Arial" w:cs="Arial"/>
          <w:b/>
        </w:rPr>
        <w:t>6</w:t>
      </w:r>
      <w:r w:rsidR="007C466C" w:rsidRPr="007C466C">
        <w:rPr>
          <w:rFonts w:ascii="Arial" w:eastAsia="Arial" w:hAnsi="Arial" w:cs="Arial"/>
          <w:b/>
        </w:rPr>
        <w:t>/2021</w:t>
      </w:r>
    </w:p>
    <w:p w14:paraId="60E902D8" w14:textId="77777777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>Proponente:</w:t>
      </w:r>
      <w:r w:rsidRPr="007C466C">
        <w:rPr>
          <w:rFonts w:ascii="Arial" w:eastAsia="Arial" w:hAnsi="Arial" w:cs="Arial"/>
        </w:rPr>
        <w:t xml:space="preserve"> Poder Executivo Municipal</w:t>
      </w:r>
    </w:p>
    <w:p w14:paraId="661EF707" w14:textId="6FF1BEB6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 xml:space="preserve">Regime de Tramitação </w:t>
      </w:r>
      <w:r w:rsidR="007C466C">
        <w:rPr>
          <w:rFonts w:ascii="Arial" w:eastAsia="Arial" w:hAnsi="Arial" w:cs="Arial"/>
        </w:rPr>
        <w:t>Urgência</w:t>
      </w:r>
    </w:p>
    <w:p w14:paraId="4CF7AA39" w14:textId="163A7AE3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 xml:space="preserve">Data de conclusão à Procuradoria: </w:t>
      </w:r>
      <w:r w:rsidR="007C466C" w:rsidRPr="007C466C">
        <w:rPr>
          <w:rFonts w:ascii="Arial" w:eastAsia="Arial" w:hAnsi="Arial" w:cs="Arial"/>
        </w:rPr>
        <w:t>30/09/2021</w:t>
      </w:r>
      <w:r w:rsidRPr="007C466C">
        <w:rPr>
          <w:rFonts w:ascii="Arial" w:eastAsia="Arial" w:hAnsi="Arial" w:cs="Arial"/>
        </w:rPr>
        <w:tab/>
      </w:r>
    </w:p>
    <w:p w14:paraId="544A2F03" w14:textId="77777777" w:rsidR="002E400D" w:rsidRPr="007C466C" w:rsidRDefault="002E400D">
      <w:pPr>
        <w:rPr>
          <w:rFonts w:ascii="Arial" w:eastAsia="Arial" w:hAnsi="Arial" w:cs="Arial"/>
          <w:b/>
        </w:rPr>
      </w:pPr>
    </w:p>
    <w:p w14:paraId="3CFA6BEB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6E0AEA70" w14:textId="77777777" w:rsidR="002E400D" w:rsidRPr="007C466C" w:rsidRDefault="00E870F5" w:rsidP="007C466C">
      <w:pPr>
        <w:jc w:val="center"/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>RELATÓRIO</w:t>
      </w:r>
    </w:p>
    <w:p w14:paraId="33D0C340" w14:textId="77777777" w:rsidR="002E400D" w:rsidRPr="007C466C" w:rsidRDefault="002E400D">
      <w:pPr>
        <w:jc w:val="both"/>
        <w:rPr>
          <w:rFonts w:ascii="Arial" w:eastAsia="Arial" w:hAnsi="Arial" w:cs="Arial"/>
          <w:sz w:val="22"/>
          <w:szCs w:val="22"/>
        </w:rPr>
      </w:pPr>
    </w:p>
    <w:p w14:paraId="1BB3C20A" w14:textId="1F31ABE6" w:rsidR="007C466C" w:rsidRPr="008511AF" w:rsidRDefault="00E870F5" w:rsidP="007C466C">
      <w:pPr>
        <w:spacing w:line="360" w:lineRule="auto"/>
        <w:jc w:val="both"/>
        <w:rPr>
          <w:rFonts w:ascii="Arial" w:eastAsia="Arial" w:hAnsi="Arial" w:cs="Arial"/>
          <w:b/>
          <w:bCs/>
          <w:i/>
          <w:iCs/>
        </w:rPr>
      </w:pPr>
      <w:r w:rsidRPr="007C466C">
        <w:rPr>
          <w:rFonts w:ascii="Arial" w:eastAsia="Arial" w:hAnsi="Arial" w:cs="Arial"/>
          <w:sz w:val="22"/>
          <w:szCs w:val="22"/>
        </w:rPr>
        <w:tab/>
        <w:t>Trata-se de mensagem de origem do Poder Executivo Municipal cujo mérito solicita aprovação de projeto de lei que</w:t>
      </w:r>
      <w:r w:rsidR="007C466C" w:rsidRPr="00113459"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 </w:t>
      </w:r>
      <w:r w:rsidR="008511AF" w:rsidRPr="008511AF">
        <w:rPr>
          <w:rFonts w:ascii="Arial" w:eastAsia="Arial" w:hAnsi="Arial" w:cs="Arial"/>
          <w:b/>
          <w:bCs/>
          <w:i/>
          <w:iCs/>
        </w:rPr>
        <w:t>“</w:t>
      </w:r>
      <w:r w:rsidR="008511AF" w:rsidRPr="008511AF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</w:rPr>
        <w:t>Autoriza abertura de crédito especial de R$ 143.250,00 (cento e quarenta e três mil, duzentos e cinquenta reais) criando rubrica no Orçamento de 2021 na Secretaria Municipal de Indústria, Comércio, Agricultura e Abastecimento.</w:t>
      </w:r>
      <w:r w:rsidR="008511AF" w:rsidRPr="008511AF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</w:rPr>
        <w:t>”</w:t>
      </w:r>
    </w:p>
    <w:p w14:paraId="40E948AB" w14:textId="77777777" w:rsidR="007C466C" w:rsidRDefault="007C466C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ADF2BC4" w14:textId="087A4177" w:rsidR="002E400D" w:rsidRPr="007C466C" w:rsidRDefault="007C466C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</w:t>
      </w:r>
      <w:r w:rsidR="00E870F5" w:rsidRPr="007C466C">
        <w:rPr>
          <w:rFonts w:ascii="Arial" w:eastAsia="Arial" w:hAnsi="Arial" w:cs="Arial"/>
          <w:sz w:val="22"/>
          <w:szCs w:val="22"/>
        </w:rPr>
        <w:t>O processo tramita exclusivamente em formato digital, constam dos autos eletrônicos os seguintes documentos em anexo.</w:t>
      </w:r>
    </w:p>
    <w:p w14:paraId="36AB8B7B" w14:textId="77777777" w:rsidR="002E400D" w:rsidRPr="007C466C" w:rsidRDefault="002E400D">
      <w:pPr>
        <w:spacing w:line="360" w:lineRule="auto"/>
        <w:ind w:firstLine="708"/>
        <w:jc w:val="both"/>
        <w:rPr>
          <w:rFonts w:ascii="Arial" w:eastAsia="Arial" w:hAnsi="Arial" w:cs="Arial"/>
        </w:rPr>
      </w:pPr>
    </w:p>
    <w:p w14:paraId="6E12BBC2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b/>
        </w:rPr>
        <w:t>PARECER</w:t>
      </w:r>
    </w:p>
    <w:p w14:paraId="5FB9E5A7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79AC3253" w14:textId="77777777" w:rsidR="002E400D" w:rsidRPr="007C466C" w:rsidRDefault="00E870F5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 iniciativa para deflagrar o processo legislativo acerca da matéria “crédito especial” está inserida na esfera de competências privativas do Chefe do Executivo, conforme disposto pela Lei Orgânica Municipal:</w:t>
      </w:r>
    </w:p>
    <w:p w14:paraId="5E138141" w14:textId="77777777" w:rsidR="002E400D" w:rsidRPr="007C466C" w:rsidRDefault="00E870F5">
      <w:pPr>
        <w:spacing w:line="276" w:lineRule="auto"/>
        <w:ind w:left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2D52720E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55. Compete, privativamente ao Prefeito, a iniciativa de projetos de lei que disponham sobre:</w:t>
      </w:r>
    </w:p>
    <w:p w14:paraId="4EEE5BF3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294A6374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IV – Proposições que geram despesas ou comprometam receitas do Município.</w:t>
      </w:r>
    </w:p>
    <w:p w14:paraId="25D61B61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21E52198" w14:textId="282E31F2" w:rsidR="002E400D" w:rsidRDefault="00E870F5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 deliberação pela Câmara de Vereadores sobre esse tema é abordada no âmbito da Lei Orgânica Municipal da seguinte maneira:</w:t>
      </w:r>
    </w:p>
    <w:p w14:paraId="0F3EE510" w14:textId="77777777" w:rsidR="007C466C" w:rsidRPr="007C466C" w:rsidRDefault="007C466C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</w:p>
    <w:p w14:paraId="6E469763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36. Compete à Câmara Municipal deliberar, com a sanção do Prefeito, sobre todas as matérias da competência do Município, especialmente sobre:</w:t>
      </w:r>
    </w:p>
    <w:p w14:paraId="252AA2A2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6FADE974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 xml:space="preserve">II - </w:t>
      </w:r>
      <w:proofErr w:type="gramStart"/>
      <w:r w:rsidRPr="007C466C">
        <w:rPr>
          <w:rFonts w:ascii="Arial" w:eastAsia="Arial" w:hAnsi="Arial" w:cs="Arial"/>
          <w:i/>
          <w:sz w:val="22"/>
          <w:szCs w:val="22"/>
        </w:rPr>
        <w:t>abertura</w:t>
      </w:r>
      <w:proofErr w:type="gramEnd"/>
      <w:r w:rsidRPr="007C466C">
        <w:rPr>
          <w:rFonts w:ascii="Arial" w:eastAsia="Arial" w:hAnsi="Arial" w:cs="Arial"/>
          <w:i/>
          <w:sz w:val="22"/>
          <w:szCs w:val="22"/>
        </w:rPr>
        <w:t xml:space="preserve"> de créditos especiais, suplementares e extraordinários;</w:t>
      </w:r>
    </w:p>
    <w:p w14:paraId="7DE207B7" w14:textId="77777777" w:rsidR="002E400D" w:rsidRPr="007C466C" w:rsidRDefault="00E870F5">
      <w:pPr>
        <w:spacing w:before="24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lastRenderedPageBreak/>
        <w:t xml:space="preserve">  </w:t>
      </w:r>
    </w:p>
    <w:p w14:paraId="634EEBFE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Quanto aos requisitos para a espécie proposta, estes são disciplinados pela Constituição Federal,</w:t>
      </w:r>
      <w:r w:rsidRPr="007C466C">
        <w:rPr>
          <w:rFonts w:ascii="Arial" w:eastAsia="Arial" w:hAnsi="Arial" w:cs="Arial"/>
          <w:i/>
          <w:sz w:val="22"/>
          <w:szCs w:val="22"/>
        </w:rPr>
        <w:t xml:space="preserve"> in </w:t>
      </w:r>
      <w:proofErr w:type="spellStart"/>
      <w:r w:rsidRPr="007C466C">
        <w:rPr>
          <w:rFonts w:ascii="Arial" w:eastAsia="Arial" w:hAnsi="Arial" w:cs="Arial"/>
          <w:i/>
          <w:sz w:val="22"/>
          <w:szCs w:val="22"/>
        </w:rPr>
        <w:t>verbis</w:t>
      </w:r>
      <w:proofErr w:type="spellEnd"/>
      <w:r w:rsidRPr="007C466C">
        <w:rPr>
          <w:rFonts w:ascii="Arial" w:eastAsia="Arial" w:hAnsi="Arial" w:cs="Arial"/>
          <w:sz w:val="22"/>
          <w:szCs w:val="22"/>
        </w:rPr>
        <w:t>:</w:t>
      </w:r>
    </w:p>
    <w:p w14:paraId="65C05A7E" w14:textId="77777777" w:rsidR="002E400D" w:rsidRPr="007C466C" w:rsidRDefault="00E870F5">
      <w:pPr>
        <w:spacing w:line="360" w:lineRule="auto"/>
        <w:ind w:left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F5C9135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167. São vedados:</w:t>
      </w:r>
    </w:p>
    <w:p w14:paraId="3D3B5447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281D0036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7B9DD7FA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b/>
          <w:i/>
          <w:sz w:val="22"/>
          <w:szCs w:val="22"/>
        </w:rPr>
      </w:pPr>
      <w:r w:rsidRPr="007C466C">
        <w:rPr>
          <w:rFonts w:ascii="Arial" w:eastAsia="Arial" w:hAnsi="Arial" w:cs="Arial"/>
          <w:b/>
          <w:i/>
          <w:sz w:val="22"/>
          <w:szCs w:val="22"/>
        </w:rPr>
        <w:t xml:space="preserve">V - </w:t>
      </w:r>
      <w:proofErr w:type="gramStart"/>
      <w:r w:rsidRPr="007C466C">
        <w:rPr>
          <w:rFonts w:ascii="Arial" w:eastAsia="Arial" w:hAnsi="Arial" w:cs="Arial"/>
          <w:b/>
          <w:i/>
          <w:sz w:val="22"/>
          <w:szCs w:val="22"/>
        </w:rPr>
        <w:t>a</w:t>
      </w:r>
      <w:proofErr w:type="gramEnd"/>
      <w:r w:rsidRPr="007C466C">
        <w:rPr>
          <w:rFonts w:ascii="Arial" w:eastAsia="Arial" w:hAnsi="Arial" w:cs="Arial"/>
          <w:b/>
          <w:i/>
          <w:sz w:val="22"/>
          <w:szCs w:val="22"/>
        </w:rPr>
        <w:t xml:space="preserve"> abertura de crédito suplementar ou especial sem prévia autorização legislativa e sem indicação dos recursos correspondentes;</w:t>
      </w:r>
    </w:p>
    <w:p w14:paraId="71739325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79E0E00F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Ou seja, no que diz respeito à abertura de créditos especiais ou suplementares no bojo do orçamento, para que o Poder executivo o faça, são necessários: (a) autorização legislativa, e (b) indicação dos recursos correspondentes.</w:t>
      </w:r>
    </w:p>
    <w:p w14:paraId="57DA71C4" w14:textId="648F17C3" w:rsid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Ao que se apresenta no teor do projeto em análise, a autorização legislativa é o mérito da proposição, e no que se refere aos recursos financeiros necessários à cobertura das despesas geradas pelo art. 1º do projeto em apreço, estes são indicados por ocasião do art. 2º</w:t>
      </w:r>
      <w:r w:rsidR="007C466C">
        <w:rPr>
          <w:rFonts w:ascii="Arial" w:eastAsia="Arial" w:hAnsi="Arial" w:cs="Arial"/>
          <w:sz w:val="22"/>
          <w:szCs w:val="22"/>
        </w:rPr>
        <w:t>.</w:t>
      </w: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430095C3" w14:textId="15C566F5" w:rsidR="002E400D" w:rsidRPr="007C466C" w:rsidRDefault="007C466C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</w:t>
      </w:r>
      <w:r w:rsidR="00E870F5" w:rsidRPr="007C466C">
        <w:rPr>
          <w:rFonts w:ascii="Arial" w:eastAsia="Arial" w:hAnsi="Arial" w:cs="Arial"/>
          <w:sz w:val="22"/>
          <w:szCs w:val="22"/>
        </w:rPr>
        <w:t>Cumpridos, portanto, os requisitos legais da espécie.</w:t>
      </w:r>
    </w:p>
    <w:p w14:paraId="6B7D784C" w14:textId="2C60C093" w:rsidR="002E400D" w:rsidRPr="007C466C" w:rsidRDefault="00E870F5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Ressaltamos: </w:t>
      </w:r>
      <w:r w:rsidRPr="007C466C">
        <w:rPr>
          <w:rFonts w:ascii="Arial" w:eastAsia="Arial" w:hAnsi="Arial" w:cs="Arial"/>
          <w:b/>
          <w:i/>
          <w:sz w:val="22"/>
          <w:szCs w:val="22"/>
        </w:rPr>
        <w:t>a presente manifestação leva em conta tão somente os requisitos formais/constitucionais da matéria “crédito especial”</w:t>
      </w:r>
      <w:r w:rsidRPr="007C466C">
        <w:rPr>
          <w:rFonts w:ascii="Arial" w:eastAsia="Arial" w:hAnsi="Arial" w:cs="Arial"/>
          <w:b/>
          <w:sz w:val="22"/>
          <w:szCs w:val="22"/>
        </w:rPr>
        <w:t>,</w:t>
      </w:r>
      <w:r w:rsidRPr="007C466C">
        <w:rPr>
          <w:rFonts w:ascii="Arial" w:eastAsia="Arial" w:hAnsi="Arial" w:cs="Arial"/>
          <w:sz w:val="22"/>
          <w:szCs w:val="22"/>
        </w:rPr>
        <w:t xml:space="preserve"> sejam eles: autorização legislativa e indicação dos recursos correspondentes.</w:t>
      </w:r>
    </w:p>
    <w:p w14:paraId="1CD01A9C" w14:textId="1023B8E5" w:rsidR="002E400D" w:rsidRPr="007C466C" w:rsidRDefault="00E870F5" w:rsidP="007C466C">
      <w:pPr>
        <w:spacing w:before="240" w:line="360" w:lineRule="auto"/>
        <w:ind w:firstLine="709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Finalmente, registramos que a deliberação pelo plenário da nobre Casa Legislativa deve ser precedida da manifestação das seguintes comissões permanentes:</w:t>
      </w:r>
    </w:p>
    <w:p w14:paraId="7E56E7F6" w14:textId="1B2907FA" w:rsidR="002E400D" w:rsidRPr="007C466C" w:rsidRDefault="00E870F5" w:rsidP="007C466C">
      <w:pPr>
        <w:spacing w:before="240"/>
        <w:ind w:firstLine="700"/>
        <w:jc w:val="both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a)  </w:t>
      </w:r>
      <w:r w:rsidRPr="007C466C">
        <w:rPr>
          <w:rFonts w:ascii="Arial" w:eastAsia="Arial" w:hAnsi="Arial" w:cs="Arial"/>
          <w:sz w:val="22"/>
          <w:szCs w:val="22"/>
        </w:rPr>
        <w:tab/>
        <w:t xml:space="preserve">LEGISLAÇÃO E JUSTIÇA, por ser condição de tramitação do processo legislativo </w:t>
      </w:r>
      <w:r w:rsidRPr="007C466C">
        <w:rPr>
          <w:rFonts w:ascii="Arial" w:eastAsia="Arial" w:hAnsi="Arial" w:cs="Arial"/>
          <w:b/>
          <w:sz w:val="22"/>
          <w:szCs w:val="22"/>
        </w:rPr>
        <w:t>para todas as proposições em geral:</w:t>
      </w:r>
    </w:p>
    <w:p w14:paraId="670DB5AF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3FFFB61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5E5B74EE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§ 1º- Salvo expressa disposição em contrário deste Regimento, é obrigatória a audiência da Comissão de </w:t>
      </w:r>
      <w:r w:rsidRPr="007C466C">
        <w:rPr>
          <w:rFonts w:ascii="Arial" w:eastAsia="Arial" w:hAnsi="Arial" w:cs="Arial"/>
          <w:sz w:val="22"/>
          <w:szCs w:val="22"/>
        </w:rPr>
        <w:lastRenderedPageBreak/>
        <w:t xml:space="preserve">Legislação e Justiça em </w:t>
      </w:r>
      <w:r w:rsidRPr="007C466C">
        <w:rPr>
          <w:rFonts w:ascii="Arial" w:eastAsia="Arial" w:hAnsi="Arial" w:cs="Arial"/>
          <w:b/>
          <w:sz w:val="22"/>
          <w:szCs w:val="22"/>
        </w:rPr>
        <w:t>todos os projetos de lei e determinadas matérias que tramitarem pela Câmara.</w:t>
      </w:r>
    </w:p>
    <w:p w14:paraId="75A1AD3E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56801B1C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b)  </w:t>
      </w:r>
      <w:r w:rsidRPr="007C466C">
        <w:rPr>
          <w:rFonts w:ascii="Arial" w:eastAsia="Arial" w:hAnsi="Arial" w:cs="Arial"/>
          <w:sz w:val="22"/>
          <w:szCs w:val="22"/>
        </w:rPr>
        <w:tab/>
        <w:t xml:space="preserve">FINANÇAS E ORÇAMENTO, por competência específica, eis que a proposição envolve </w:t>
      </w:r>
      <w:r w:rsidRPr="007C466C">
        <w:rPr>
          <w:rFonts w:ascii="Arial" w:eastAsia="Arial" w:hAnsi="Arial" w:cs="Arial"/>
          <w:b/>
          <w:sz w:val="22"/>
          <w:szCs w:val="22"/>
        </w:rPr>
        <w:t>abertura de créditos</w:t>
      </w:r>
      <w:r w:rsidRPr="007C466C">
        <w:rPr>
          <w:rFonts w:ascii="Arial" w:eastAsia="Arial" w:hAnsi="Arial" w:cs="Arial"/>
          <w:sz w:val="22"/>
          <w:szCs w:val="22"/>
        </w:rPr>
        <w:t>:</w:t>
      </w:r>
    </w:p>
    <w:p w14:paraId="0B9CD71E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AF55A7D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Art. 77- Compete à Comissão de Finanças e Orçamento opinar obrigatoriamente sobre todas as matérias de caráter financeiro, e especialmente quando for o caso de:</w:t>
      </w:r>
    </w:p>
    <w:p w14:paraId="519D36EA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(...)</w:t>
      </w:r>
    </w:p>
    <w:p w14:paraId="1750901E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IV - </w:t>
      </w:r>
      <w:proofErr w:type="gramStart"/>
      <w:r w:rsidRPr="007C466C">
        <w:rPr>
          <w:rFonts w:ascii="Arial" w:eastAsia="Arial" w:hAnsi="Arial" w:cs="Arial"/>
          <w:sz w:val="22"/>
          <w:szCs w:val="22"/>
        </w:rPr>
        <w:t>proposições</w:t>
      </w:r>
      <w:proofErr w:type="gramEnd"/>
      <w:r w:rsidRPr="007C466C">
        <w:rPr>
          <w:rFonts w:ascii="Arial" w:eastAsia="Arial" w:hAnsi="Arial" w:cs="Arial"/>
          <w:sz w:val="22"/>
          <w:szCs w:val="22"/>
        </w:rPr>
        <w:t xml:space="preserve"> referentes a matérias tributárias; </w:t>
      </w:r>
      <w:r w:rsidRPr="007C466C">
        <w:rPr>
          <w:rFonts w:ascii="Arial" w:eastAsia="Arial" w:hAnsi="Arial" w:cs="Arial"/>
          <w:b/>
          <w:sz w:val="22"/>
          <w:szCs w:val="22"/>
        </w:rPr>
        <w:t>abertura de créditos</w:t>
      </w:r>
      <w:r w:rsidRPr="007C466C">
        <w:rPr>
          <w:rFonts w:ascii="Arial" w:eastAsia="Arial" w:hAnsi="Arial" w:cs="Arial"/>
          <w:sz w:val="22"/>
          <w:szCs w:val="22"/>
        </w:rPr>
        <w:t>; empréstimos públicos e as que, direta ou indiretamente, alterem a despesa ou a receita do Município, acarretem responsabilidades ao Erário Municipal ou interessem ao crédito e ao Patrimônio Público Municipal;</w:t>
      </w:r>
    </w:p>
    <w:p w14:paraId="08B591F7" w14:textId="77777777" w:rsidR="002E400D" w:rsidRPr="007C466C" w:rsidRDefault="002E400D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FA2EBB7" w14:textId="77777777" w:rsidR="007C466C" w:rsidRDefault="007C466C" w:rsidP="007C466C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38AD53A6" w14:textId="7AE6499C" w:rsidR="002E400D" w:rsidRPr="007C466C" w:rsidRDefault="00E870F5" w:rsidP="007C466C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b/>
          <w:sz w:val="22"/>
          <w:szCs w:val="22"/>
        </w:rPr>
        <w:t>CONSIDERAÇÕES FINAIS</w:t>
      </w:r>
    </w:p>
    <w:p w14:paraId="6C6ED381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5B089CCC" w14:textId="77777777" w:rsidR="007C466C" w:rsidRDefault="00E870F5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Em conformidade com os fundamentos normativos apresentados acima, encaminhamos o expediente ao prosseguimento, opinando pela </w:t>
      </w:r>
      <w:r w:rsidRPr="007C466C">
        <w:rPr>
          <w:rFonts w:ascii="Arial" w:eastAsia="Arial" w:hAnsi="Arial" w:cs="Arial"/>
          <w:b/>
          <w:sz w:val="22"/>
          <w:szCs w:val="22"/>
          <w:u w:val="single"/>
        </w:rPr>
        <w:t>viabilidade da tramitação</w:t>
      </w:r>
      <w:r w:rsidRPr="007C466C">
        <w:rPr>
          <w:rFonts w:ascii="Arial" w:eastAsia="Arial" w:hAnsi="Arial" w:cs="Arial"/>
          <w:sz w:val="22"/>
          <w:szCs w:val="22"/>
        </w:rPr>
        <w:t xml:space="preserve">. Assevera-se, outrossim, que o presente parecer tem natureza opinativa e não vincula a decisão das comissões. </w:t>
      </w:r>
    </w:p>
    <w:p w14:paraId="27D293E7" w14:textId="77777777" w:rsidR="007C466C" w:rsidRDefault="007C466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72B4F1A6" w14:textId="6E3C522A" w:rsidR="002E400D" w:rsidRPr="007C466C" w:rsidRDefault="007C466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</w:t>
      </w:r>
      <w:r w:rsidR="00E870F5" w:rsidRPr="007C466C">
        <w:rPr>
          <w:rFonts w:ascii="Arial" w:eastAsia="Arial" w:hAnsi="Arial" w:cs="Arial"/>
          <w:sz w:val="22"/>
          <w:szCs w:val="22"/>
        </w:rPr>
        <w:t>ncaminhem-se os autos à DIRETORIA LEGISLATIVA para as devidas diligências.</w:t>
      </w:r>
    </w:p>
    <w:p w14:paraId="22A75BD3" w14:textId="5839CA09" w:rsidR="002E400D" w:rsidRDefault="002E400D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3C088D2B" w14:textId="77777777" w:rsidR="007C466C" w:rsidRPr="007C466C" w:rsidRDefault="007C466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097A847F" w14:textId="78C08C5D" w:rsidR="002E400D" w:rsidRPr="007C466C" w:rsidRDefault="00E870F5" w:rsidP="007C466C">
      <w:pPr>
        <w:spacing w:line="360" w:lineRule="auto"/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Parecer exarado em </w:t>
      </w:r>
      <w:r w:rsidR="007C466C">
        <w:rPr>
          <w:rFonts w:ascii="Arial" w:eastAsia="Arial" w:hAnsi="Arial" w:cs="Arial"/>
          <w:sz w:val="22"/>
          <w:szCs w:val="22"/>
        </w:rPr>
        <w:t>01</w:t>
      </w:r>
      <w:r w:rsidRPr="007C466C">
        <w:rPr>
          <w:rFonts w:ascii="Arial" w:eastAsia="Arial" w:hAnsi="Arial" w:cs="Arial"/>
          <w:sz w:val="22"/>
          <w:szCs w:val="22"/>
        </w:rPr>
        <w:t xml:space="preserve"> de </w:t>
      </w:r>
      <w:proofErr w:type="gramStart"/>
      <w:r w:rsidR="007C466C">
        <w:rPr>
          <w:rFonts w:ascii="Arial" w:eastAsia="Arial" w:hAnsi="Arial" w:cs="Arial"/>
          <w:sz w:val="22"/>
          <w:szCs w:val="22"/>
        </w:rPr>
        <w:t>Outu</w:t>
      </w:r>
      <w:r w:rsidRPr="007C466C">
        <w:rPr>
          <w:rFonts w:ascii="Arial" w:eastAsia="Arial" w:hAnsi="Arial" w:cs="Arial"/>
          <w:sz w:val="22"/>
          <w:szCs w:val="22"/>
        </w:rPr>
        <w:t>bro</w:t>
      </w:r>
      <w:proofErr w:type="gramEnd"/>
      <w:r w:rsidRPr="007C466C">
        <w:rPr>
          <w:rFonts w:ascii="Arial" w:eastAsia="Arial" w:hAnsi="Arial" w:cs="Arial"/>
          <w:sz w:val="22"/>
          <w:szCs w:val="22"/>
        </w:rPr>
        <w:t xml:space="preserve"> de 2021</w:t>
      </w:r>
    </w:p>
    <w:p w14:paraId="3C39C39E" w14:textId="77777777" w:rsidR="002E400D" w:rsidRPr="007C466C" w:rsidRDefault="002E400D" w:rsidP="007C466C">
      <w:pPr>
        <w:jc w:val="center"/>
        <w:rPr>
          <w:rFonts w:ascii="Arial" w:eastAsia="Arial" w:hAnsi="Arial" w:cs="Arial"/>
          <w:sz w:val="22"/>
          <w:szCs w:val="22"/>
        </w:rPr>
      </w:pPr>
    </w:p>
    <w:p w14:paraId="64F57865" w14:textId="77777777" w:rsidR="002E400D" w:rsidRPr="007C466C" w:rsidRDefault="002E400D" w:rsidP="007C466C">
      <w:pPr>
        <w:jc w:val="center"/>
        <w:rPr>
          <w:rFonts w:ascii="Arial" w:eastAsia="Arial" w:hAnsi="Arial" w:cs="Arial"/>
          <w:sz w:val="22"/>
          <w:szCs w:val="22"/>
        </w:rPr>
      </w:pPr>
    </w:p>
    <w:p w14:paraId="38189D5F" w14:textId="77777777" w:rsidR="002E400D" w:rsidRPr="007C466C" w:rsidRDefault="00E870F5" w:rsidP="007C466C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b/>
          <w:sz w:val="22"/>
          <w:szCs w:val="22"/>
        </w:rPr>
        <w:t>João Roberto da Fonseca Junior</w:t>
      </w:r>
    </w:p>
    <w:p w14:paraId="235A27D2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Procurador Chefe</w:t>
      </w:r>
    </w:p>
    <w:p w14:paraId="54B662C1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OAB/RS 69.257</w:t>
      </w:r>
    </w:p>
    <w:sectPr w:rsidR="002E400D" w:rsidRPr="007C466C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01C0F" w14:textId="77777777" w:rsidR="00E921E0" w:rsidRDefault="00E921E0">
      <w:r>
        <w:separator/>
      </w:r>
    </w:p>
  </w:endnote>
  <w:endnote w:type="continuationSeparator" w:id="0">
    <w:p w14:paraId="4852BE5B" w14:textId="77777777" w:rsidR="00E921E0" w:rsidRDefault="00E92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0AB15" w14:textId="77777777" w:rsidR="00E921E0" w:rsidRDefault="00E921E0">
      <w:r>
        <w:separator/>
      </w:r>
    </w:p>
  </w:footnote>
  <w:footnote w:type="continuationSeparator" w:id="0">
    <w:p w14:paraId="3400AE18" w14:textId="77777777" w:rsidR="00E921E0" w:rsidRDefault="00E92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E181" w14:textId="77777777" w:rsidR="002E400D" w:rsidRDefault="00E870F5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hidden="0" allowOverlap="1" wp14:anchorId="77F18E8D" wp14:editId="08F6AFDC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1664FB4A" w14:textId="77777777" w:rsidR="002E400D" w:rsidRDefault="00E870F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3B090F3D" w14:textId="77777777" w:rsidR="002E400D" w:rsidRDefault="00E870F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659A6A54" w14:textId="77777777" w:rsidR="002E400D" w:rsidRDefault="002E400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98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0D"/>
    <w:rsid w:val="00113459"/>
    <w:rsid w:val="002E400D"/>
    <w:rsid w:val="00794EB4"/>
    <w:rsid w:val="007C466C"/>
    <w:rsid w:val="00842F51"/>
    <w:rsid w:val="008511AF"/>
    <w:rsid w:val="008A234B"/>
    <w:rsid w:val="00E870F5"/>
    <w:rsid w:val="00E9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7033D"/>
  <w15:docId w15:val="{904FCFFF-6A09-064E-9775-C41A12C7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666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2021-10-01T15:01:00Z</dcterms:created>
  <dcterms:modified xsi:type="dcterms:W3CDTF">2021-10-01T15:01:00Z</dcterms:modified>
</cp:coreProperties>
</file>